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4C" w:rsidRPr="007A3DE6" w:rsidRDefault="0039654C" w:rsidP="0039654C">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44"/>
          <w:szCs w:val="44"/>
        </w:rPr>
      </w:pPr>
      <w:r w:rsidRPr="007A3DE6">
        <w:rPr>
          <w:smallCaps/>
          <w:sz w:val="44"/>
          <w:szCs w:val="44"/>
        </w:rPr>
        <w:t>Executive Summary:</w:t>
      </w:r>
    </w:p>
    <w:p w:rsidR="0039654C" w:rsidRPr="006361BC" w:rsidRDefault="0039654C" w:rsidP="0039654C">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52"/>
          <w:szCs w:val="52"/>
        </w:rPr>
      </w:pPr>
      <w:r>
        <w:rPr>
          <w:smallCaps/>
          <w:sz w:val="52"/>
          <w:szCs w:val="52"/>
        </w:rPr>
        <w:t>Drugs &amp; Other Medical Items</w:t>
      </w:r>
    </w:p>
    <w:p w:rsidR="0039654C" w:rsidRPr="000C2CBF" w:rsidRDefault="0039654C" w:rsidP="0039654C">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36"/>
          <w:szCs w:val="36"/>
        </w:rPr>
      </w:pPr>
      <w:r w:rsidRPr="007023E5">
        <w:rPr>
          <w:smallCaps/>
          <w:sz w:val="28"/>
          <w:szCs w:val="28"/>
        </w:rPr>
        <w:t>(Sales Tax)</w:t>
      </w:r>
    </w:p>
    <w:p w:rsidR="0039654C" w:rsidRPr="006361BC" w:rsidRDefault="0039654C" w:rsidP="0039654C">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mallCaps/>
          <w:sz w:val="32"/>
          <w:szCs w:val="32"/>
        </w:rPr>
      </w:pPr>
      <w:r w:rsidRPr="006361BC">
        <w:rPr>
          <w:smallCaps/>
          <w:sz w:val="32"/>
          <w:szCs w:val="32"/>
        </w:rPr>
        <w:t>July, 2014</w:t>
      </w:r>
    </w:p>
    <w:p w:rsidR="0039654C" w:rsidRPr="006361BC" w:rsidRDefault="0039654C" w:rsidP="0039654C">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z w:val="32"/>
          <w:szCs w:val="32"/>
        </w:rPr>
      </w:pPr>
      <w:r w:rsidRPr="006361BC">
        <w:rPr>
          <w:smallCaps/>
          <w:sz w:val="32"/>
          <w:szCs w:val="32"/>
        </w:rPr>
        <w:t>Joint Subcommittee to Evaluate Tax Preferences</w:t>
      </w:r>
    </w:p>
    <w:p w:rsidR="0039654C" w:rsidRDefault="0039654C">
      <w:pPr>
        <w:rPr>
          <w:smallCaps/>
          <w:sz w:val="28"/>
          <w:szCs w:val="28"/>
        </w:rPr>
      </w:pPr>
    </w:p>
    <w:p w:rsidR="00830A9E" w:rsidRDefault="00830A9E">
      <w:pPr>
        <w:rPr>
          <w:smallCaps/>
          <w:sz w:val="28"/>
          <w:szCs w:val="28"/>
        </w:rPr>
      </w:pPr>
    </w:p>
    <w:tbl>
      <w:tblPr>
        <w:tblStyle w:val="TableGrid"/>
        <w:tblW w:w="0" w:type="auto"/>
        <w:tblBorders>
          <w:top w:val="single" w:sz="18" w:space="0" w:color="17365D" w:themeColor="text2" w:themeShade="BF"/>
          <w:left w:val="none" w:sz="0" w:space="0" w:color="auto"/>
          <w:bottom w:val="single" w:sz="18" w:space="0" w:color="17365D" w:themeColor="text2" w:themeShade="BF"/>
          <w:right w:val="none" w:sz="0" w:space="0" w:color="auto"/>
          <w:insideH w:val="single" w:sz="18" w:space="0" w:color="17365D" w:themeColor="text2" w:themeShade="BF"/>
        </w:tblBorders>
        <w:tblLook w:val="04A0" w:firstRow="1" w:lastRow="0" w:firstColumn="1" w:lastColumn="0" w:noHBand="0" w:noVBand="1"/>
      </w:tblPr>
      <w:tblGrid>
        <w:gridCol w:w="9576"/>
      </w:tblGrid>
      <w:tr w:rsidR="0039654C" w:rsidTr="00AA7854">
        <w:tc>
          <w:tcPr>
            <w:tcW w:w="9576" w:type="dxa"/>
          </w:tcPr>
          <w:p w:rsidR="0039654C" w:rsidRPr="00830A9E" w:rsidRDefault="0039654C" w:rsidP="00830A9E">
            <w:pPr>
              <w:pStyle w:val="ListParagraph"/>
              <w:numPr>
                <w:ilvl w:val="0"/>
                <w:numId w:val="1"/>
              </w:numPr>
              <w:rPr>
                <w:smallCaps/>
                <w:sz w:val="28"/>
                <w:szCs w:val="28"/>
              </w:rPr>
            </w:pPr>
            <w:r w:rsidRPr="00830A9E">
              <w:rPr>
                <w:smallCaps/>
                <w:sz w:val="28"/>
                <w:szCs w:val="28"/>
              </w:rPr>
              <w:t>Preference</w:t>
            </w:r>
            <w:r w:rsidR="00D774E4">
              <w:rPr>
                <w:smallCaps/>
                <w:sz w:val="28"/>
                <w:szCs w:val="28"/>
              </w:rPr>
              <w:t>s</w:t>
            </w:r>
            <w:r w:rsidRPr="00830A9E">
              <w:rPr>
                <w:smallCaps/>
                <w:sz w:val="28"/>
                <w:szCs w:val="28"/>
              </w:rPr>
              <w:t>:</w:t>
            </w:r>
          </w:p>
          <w:p w:rsidR="0039654C" w:rsidRDefault="0039654C">
            <w:pPr>
              <w:rPr>
                <w:smallCaps/>
                <w:sz w:val="28"/>
                <w:szCs w:val="28"/>
              </w:rPr>
            </w:pPr>
          </w:p>
          <w:p w:rsidR="0039654C" w:rsidRDefault="00830A9E">
            <w:pPr>
              <w:rPr>
                <w:smallCaps/>
              </w:rPr>
            </w:pPr>
            <w:r>
              <w:rPr>
                <w:smallCaps/>
              </w:rPr>
              <w:t>§ 58.1-609.10 (9), (10),  (11)</w:t>
            </w:r>
            <w:r w:rsidR="00E47003">
              <w:rPr>
                <w:smallCaps/>
              </w:rPr>
              <w:t>, &amp; (14)</w:t>
            </w:r>
          </w:p>
          <w:p w:rsidR="00830A9E" w:rsidRPr="00830A9E" w:rsidRDefault="00830A9E">
            <w:pPr>
              <w:rPr>
                <w:smallCaps/>
              </w:rPr>
            </w:pPr>
          </w:p>
        </w:tc>
      </w:tr>
      <w:tr w:rsidR="0039654C" w:rsidTr="00AA7854">
        <w:trPr>
          <w:trHeight w:val="1088"/>
        </w:trPr>
        <w:tc>
          <w:tcPr>
            <w:tcW w:w="9576" w:type="dxa"/>
          </w:tcPr>
          <w:p w:rsidR="0039654C" w:rsidRPr="00830A9E" w:rsidRDefault="0039654C" w:rsidP="00830A9E">
            <w:pPr>
              <w:pStyle w:val="ListParagraph"/>
              <w:numPr>
                <w:ilvl w:val="0"/>
                <w:numId w:val="1"/>
              </w:numPr>
              <w:rPr>
                <w:smallCaps/>
                <w:sz w:val="28"/>
                <w:szCs w:val="28"/>
              </w:rPr>
            </w:pPr>
            <w:r w:rsidRPr="00830A9E">
              <w:rPr>
                <w:smallCaps/>
                <w:sz w:val="28"/>
                <w:szCs w:val="28"/>
              </w:rPr>
              <w:t>Summary:</w:t>
            </w:r>
          </w:p>
          <w:p w:rsidR="0039654C" w:rsidRDefault="0039654C">
            <w:pPr>
              <w:rPr>
                <w:smallCaps/>
                <w:sz w:val="28"/>
                <w:szCs w:val="28"/>
              </w:rPr>
            </w:pPr>
          </w:p>
          <w:p w:rsidR="00830A9E" w:rsidRDefault="00830A9E" w:rsidP="00830A9E">
            <w:pPr>
              <w:widowControl w:val="0"/>
              <w:tabs>
                <w:tab w:val="left" w:pos="840"/>
                <w:tab w:val="left" w:pos="1500"/>
                <w:tab w:val="left" w:pos="2280"/>
              </w:tabs>
              <w:autoSpaceDE w:val="0"/>
              <w:autoSpaceDN w:val="0"/>
              <w:adjustRightInd w:val="0"/>
              <w:ind w:right="57"/>
              <w:jc w:val="both"/>
              <w:rPr>
                <w:rFonts w:cs="Arial"/>
                <w:color w:val="000000"/>
              </w:rPr>
            </w:pPr>
            <w:r>
              <w:rPr>
                <w:rFonts w:cs="Arial"/>
                <w:color w:val="000000"/>
              </w:rPr>
              <w:t>P</w:t>
            </w:r>
            <w:r w:rsidRPr="00224025">
              <w:rPr>
                <w:rFonts w:cs="Arial"/>
                <w:color w:val="000000"/>
              </w:rPr>
              <w:t>rovide</w:t>
            </w:r>
            <w:r>
              <w:rPr>
                <w:rFonts w:cs="Arial"/>
                <w:color w:val="000000"/>
              </w:rPr>
              <w:t>s</w:t>
            </w:r>
            <w:r w:rsidRPr="00224025">
              <w:rPr>
                <w:rFonts w:cs="Arial"/>
                <w:color w:val="000000"/>
              </w:rPr>
              <w:t xml:space="preserve"> sales and use tax exemptions on the purchase of prescription </w:t>
            </w:r>
            <w:r w:rsidR="00E47003">
              <w:rPr>
                <w:rFonts w:cs="Arial"/>
                <w:color w:val="000000"/>
              </w:rPr>
              <w:t xml:space="preserve">and nonprescription </w:t>
            </w:r>
            <w:r w:rsidRPr="00224025">
              <w:rPr>
                <w:rFonts w:cs="Arial"/>
                <w:color w:val="000000"/>
              </w:rPr>
              <w:t>drugs</w:t>
            </w:r>
            <w:r>
              <w:rPr>
                <w:rFonts w:cs="Arial"/>
                <w:color w:val="000000"/>
              </w:rPr>
              <w:t>,</w:t>
            </w:r>
            <w:r w:rsidRPr="00224025">
              <w:rPr>
                <w:rFonts w:cs="Arial"/>
                <w:color w:val="000000"/>
              </w:rPr>
              <w:t xml:space="preserve"> and other medical items such as durable medical equipment (e.g. wheelchairs and prosthetic devices), hypodermic syringes, eyeglasses, and hearing aids. </w:t>
            </w:r>
          </w:p>
          <w:p w:rsidR="00830A9E" w:rsidRDefault="00830A9E">
            <w:pPr>
              <w:rPr>
                <w:smallCaps/>
                <w:sz w:val="28"/>
                <w:szCs w:val="28"/>
              </w:rPr>
            </w:pPr>
          </w:p>
          <w:p w:rsidR="0039654C" w:rsidRDefault="0039654C">
            <w:pPr>
              <w:rPr>
                <w:smallCaps/>
                <w:sz w:val="28"/>
                <w:szCs w:val="28"/>
              </w:rPr>
            </w:pPr>
          </w:p>
        </w:tc>
      </w:tr>
      <w:tr w:rsidR="0039654C" w:rsidTr="00AA7854">
        <w:tc>
          <w:tcPr>
            <w:tcW w:w="9576" w:type="dxa"/>
          </w:tcPr>
          <w:p w:rsidR="0039654C" w:rsidRPr="00830A9E" w:rsidRDefault="0039654C" w:rsidP="00830A9E">
            <w:pPr>
              <w:pStyle w:val="ListParagraph"/>
              <w:numPr>
                <w:ilvl w:val="0"/>
                <w:numId w:val="1"/>
              </w:numPr>
              <w:rPr>
                <w:smallCaps/>
                <w:sz w:val="28"/>
                <w:szCs w:val="28"/>
              </w:rPr>
            </w:pPr>
            <w:r w:rsidRPr="00830A9E">
              <w:rPr>
                <w:smallCaps/>
                <w:sz w:val="28"/>
                <w:szCs w:val="28"/>
              </w:rPr>
              <w:t>Revenue Impact:</w:t>
            </w:r>
          </w:p>
          <w:p w:rsidR="0039654C" w:rsidRDefault="0039654C">
            <w:pPr>
              <w:rPr>
                <w:smallCaps/>
                <w:sz w:val="28"/>
                <w:szCs w:val="28"/>
              </w:rPr>
            </w:pPr>
          </w:p>
          <w:p w:rsidR="00830A9E" w:rsidRDefault="00830A9E" w:rsidP="00830A9E">
            <w:pPr>
              <w:rPr>
                <w:rFonts w:eastAsia="Calibri" w:cs="Arial"/>
              </w:rPr>
            </w:pPr>
            <w:r w:rsidRPr="00830A9E">
              <w:rPr>
                <w:rFonts w:eastAsia="Calibri" w:cs="Arial"/>
              </w:rPr>
              <w:t>The sales tax exemption for prescription drugs and other medical items accounts for approximately $494 million in reduced state and local tax revenue (FY 2014).</w:t>
            </w:r>
          </w:p>
          <w:p w:rsidR="00E47003" w:rsidRDefault="00E47003" w:rsidP="00830A9E">
            <w:pPr>
              <w:rPr>
                <w:rFonts w:eastAsia="Calibri" w:cs="Arial"/>
              </w:rPr>
            </w:pPr>
          </w:p>
          <w:p w:rsidR="00E47003" w:rsidRPr="00830A9E" w:rsidRDefault="00E47003" w:rsidP="00830A9E">
            <w:pPr>
              <w:rPr>
                <w:rFonts w:eastAsia="Calibri" w:cs="Arial"/>
              </w:rPr>
            </w:pPr>
            <w:r w:rsidRPr="00E47003">
              <w:rPr>
                <w:rFonts w:cs="Arial"/>
                <w:color w:val="000000"/>
              </w:rPr>
              <w:t>The sales tax exemption for nonprescription drugs accounts for approximately $35 million annually in reduced state and local tax revenue (FY 2014).</w:t>
            </w:r>
          </w:p>
          <w:p w:rsidR="0039654C" w:rsidRDefault="0039654C">
            <w:pPr>
              <w:rPr>
                <w:smallCaps/>
                <w:sz w:val="28"/>
                <w:szCs w:val="28"/>
              </w:rPr>
            </w:pPr>
          </w:p>
        </w:tc>
      </w:tr>
      <w:tr w:rsidR="0039654C" w:rsidTr="00AA7854">
        <w:tc>
          <w:tcPr>
            <w:tcW w:w="9576" w:type="dxa"/>
          </w:tcPr>
          <w:p w:rsidR="0039654C" w:rsidRPr="00830A9E" w:rsidRDefault="0039654C" w:rsidP="00830A9E">
            <w:pPr>
              <w:pStyle w:val="ListParagraph"/>
              <w:numPr>
                <w:ilvl w:val="0"/>
                <w:numId w:val="1"/>
              </w:numPr>
              <w:rPr>
                <w:smallCaps/>
                <w:sz w:val="28"/>
                <w:szCs w:val="28"/>
              </w:rPr>
            </w:pPr>
            <w:r w:rsidRPr="00830A9E">
              <w:rPr>
                <w:smallCaps/>
                <w:sz w:val="28"/>
                <w:szCs w:val="28"/>
              </w:rPr>
              <w:t>Joint Subcommittee Recommendation:</w:t>
            </w:r>
          </w:p>
          <w:p w:rsidR="00D774E4" w:rsidRDefault="00D774E4" w:rsidP="00D774E4"/>
          <w:p w:rsidR="0039654C" w:rsidRPr="00D774E4" w:rsidRDefault="00D774E4" w:rsidP="00D774E4">
            <w:r w:rsidRPr="00D774E4">
              <w:t>(to be completed after joint subcommittee meeting)</w:t>
            </w:r>
          </w:p>
          <w:p w:rsidR="0039654C" w:rsidRDefault="0039654C">
            <w:pPr>
              <w:rPr>
                <w:smallCaps/>
                <w:sz w:val="28"/>
                <w:szCs w:val="28"/>
              </w:rPr>
            </w:pPr>
          </w:p>
        </w:tc>
      </w:tr>
    </w:tbl>
    <w:p w:rsidR="0039654C" w:rsidRDefault="0039654C">
      <w:pPr>
        <w:rPr>
          <w:smallCaps/>
          <w:sz w:val="28"/>
          <w:szCs w:val="28"/>
        </w:rPr>
      </w:pPr>
    </w:p>
    <w:p w:rsidR="0039654C" w:rsidRDefault="0039654C">
      <w:pPr>
        <w:rPr>
          <w:smallCaps/>
          <w:sz w:val="28"/>
          <w:szCs w:val="28"/>
        </w:rPr>
      </w:pPr>
      <w:r>
        <w:rPr>
          <w:smallCaps/>
          <w:sz w:val="28"/>
          <w:szCs w:val="28"/>
        </w:rPr>
        <w:br w:type="page"/>
      </w:r>
    </w:p>
    <w:p w:rsidR="0039654C" w:rsidRDefault="0039654C">
      <w:pPr>
        <w:rPr>
          <w:smallCaps/>
          <w:sz w:val="28"/>
          <w:szCs w:val="28"/>
        </w:rPr>
      </w:pPr>
    </w:p>
    <w:p w:rsidR="000C2CBF" w:rsidRPr="007A3DE6" w:rsidRDefault="000C2CBF" w:rsidP="0039654C">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sz w:val="44"/>
          <w:szCs w:val="44"/>
        </w:rPr>
      </w:pPr>
      <w:r w:rsidRPr="007A3DE6">
        <w:rPr>
          <w:smallCaps/>
          <w:sz w:val="44"/>
          <w:szCs w:val="44"/>
        </w:rPr>
        <w:t>Preference Report:</w:t>
      </w:r>
    </w:p>
    <w:p w:rsidR="000C2CBF" w:rsidRPr="00065BF6" w:rsidRDefault="00224025" w:rsidP="0039654C">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color w:val="000000" w:themeColor="text1"/>
          <w:sz w:val="52"/>
          <w:szCs w:val="52"/>
        </w:rPr>
      </w:pPr>
      <w:r w:rsidRPr="00065BF6">
        <w:rPr>
          <w:smallCaps/>
          <w:color w:val="000000" w:themeColor="text1"/>
          <w:sz w:val="52"/>
          <w:szCs w:val="52"/>
        </w:rPr>
        <w:t>Drugs &amp; Other Medical Items</w:t>
      </w:r>
    </w:p>
    <w:p w:rsidR="000C2CBF" w:rsidRPr="00065BF6" w:rsidRDefault="000C2CBF" w:rsidP="0039654C">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rPr>
          <w:smallCaps/>
          <w:color w:val="000000" w:themeColor="text1"/>
          <w:sz w:val="36"/>
          <w:szCs w:val="36"/>
        </w:rPr>
      </w:pPr>
      <w:r w:rsidRPr="00065BF6">
        <w:rPr>
          <w:smallCaps/>
          <w:color w:val="000000" w:themeColor="text1"/>
          <w:sz w:val="28"/>
          <w:szCs w:val="28"/>
        </w:rPr>
        <w:t>(Sales Tax)</w:t>
      </w:r>
    </w:p>
    <w:p w:rsidR="000C2CBF" w:rsidRPr="006361BC" w:rsidRDefault="006361BC" w:rsidP="0039654C">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mallCaps/>
          <w:sz w:val="32"/>
          <w:szCs w:val="32"/>
        </w:rPr>
      </w:pPr>
      <w:r w:rsidRPr="006361BC">
        <w:rPr>
          <w:smallCaps/>
          <w:sz w:val="32"/>
          <w:szCs w:val="32"/>
        </w:rPr>
        <w:t>July</w:t>
      </w:r>
      <w:r w:rsidR="000C2CBF" w:rsidRPr="006361BC">
        <w:rPr>
          <w:smallCaps/>
          <w:sz w:val="32"/>
          <w:szCs w:val="32"/>
        </w:rPr>
        <w:t>, 2014</w:t>
      </w:r>
    </w:p>
    <w:p w:rsidR="000C2CBF" w:rsidRPr="006361BC" w:rsidRDefault="000C2CBF" w:rsidP="0039654C">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hd w:val="clear" w:color="auto" w:fill="C6D9F1" w:themeFill="text2" w:themeFillTint="33"/>
        <w:spacing w:after="0" w:line="240" w:lineRule="auto"/>
        <w:jc w:val="right"/>
        <w:rPr>
          <w:sz w:val="32"/>
          <w:szCs w:val="32"/>
        </w:rPr>
      </w:pPr>
      <w:r w:rsidRPr="006361BC">
        <w:rPr>
          <w:smallCaps/>
          <w:sz w:val="32"/>
          <w:szCs w:val="32"/>
        </w:rPr>
        <w:t>Joint Subcommittee to Evaluate Tax Preferences</w:t>
      </w:r>
    </w:p>
    <w:p w:rsidR="000C2CBF" w:rsidRDefault="000C2CBF"/>
    <w:p w:rsidR="000C2CBF" w:rsidRDefault="00E47003" w:rsidP="00CC336E">
      <w:pPr>
        <w:pBdr>
          <w:bottom w:val="single" w:sz="18" w:space="1" w:color="17365D" w:themeColor="text2" w:themeShade="BF"/>
        </w:pBdr>
        <w:spacing w:after="0"/>
        <w:jc w:val="right"/>
      </w:pPr>
      <w:r>
        <w:rPr>
          <w:color w:val="17365D" w:themeColor="text2" w:themeShade="BF"/>
          <w:sz w:val="36"/>
          <w:szCs w:val="36"/>
        </w:rPr>
        <w:t xml:space="preserve">Preference </w:t>
      </w:r>
      <w:r w:rsidR="007A3DE6">
        <w:rPr>
          <w:color w:val="17365D" w:themeColor="text2" w:themeShade="BF"/>
          <w:sz w:val="36"/>
          <w:szCs w:val="36"/>
        </w:rPr>
        <w:t>Description</w:t>
      </w:r>
    </w:p>
    <w:p w:rsidR="000C2CBF" w:rsidRDefault="000C2CBF"/>
    <w:p w:rsidR="00224025" w:rsidRDefault="00224025" w:rsidP="00224025">
      <w:pPr>
        <w:widowControl w:val="0"/>
        <w:tabs>
          <w:tab w:val="left" w:pos="840"/>
          <w:tab w:val="left" w:pos="1500"/>
          <w:tab w:val="left" w:pos="2280"/>
        </w:tabs>
        <w:autoSpaceDE w:val="0"/>
        <w:autoSpaceDN w:val="0"/>
        <w:adjustRightInd w:val="0"/>
        <w:spacing w:after="0" w:line="240" w:lineRule="auto"/>
        <w:ind w:right="57"/>
        <w:jc w:val="both"/>
        <w:rPr>
          <w:rFonts w:cs="Arial"/>
          <w:color w:val="000000"/>
        </w:rPr>
      </w:pPr>
      <w:r w:rsidRPr="00224025">
        <w:rPr>
          <w:rFonts w:cs="Arial"/>
          <w:color w:val="000000"/>
        </w:rPr>
        <w:t xml:space="preserve">Subsections 9, 10, </w:t>
      </w:r>
      <w:r w:rsidR="00830A9E">
        <w:rPr>
          <w:rFonts w:cs="Arial"/>
          <w:color w:val="000000"/>
        </w:rPr>
        <w:t xml:space="preserve">11, </w:t>
      </w:r>
      <w:r w:rsidRPr="00224025">
        <w:rPr>
          <w:rFonts w:cs="Arial"/>
          <w:color w:val="000000"/>
        </w:rPr>
        <w:t xml:space="preserve">and 14 </w:t>
      </w:r>
      <w:r>
        <w:rPr>
          <w:rFonts w:cs="Arial"/>
          <w:color w:val="000000"/>
        </w:rPr>
        <w:t>of § 58.1-609.10</w:t>
      </w:r>
      <w:r w:rsidRPr="00224025">
        <w:rPr>
          <w:rFonts w:cs="Arial"/>
          <w:color w:val="000000"/>
        </w:rPr>
        <w:t xml:space="preserve"> of the Code of Virginia provide sales and use tax exemptions on the purchase of prescription and nonprescription drugs</w:t>
      </w:r>
      <w:r>
        <w:rPr>
          <w:rFonts w:cs="Arial"/>
          <w:color w:val="000000"/>
        </w:rPr>
        <w:t>,</w:t>
      </w:r>
      <w:r w:rsidRPr="00224025">
        <w:rPr>
          <w:rFonts w:cs="Arial"/>
          <w:color w:val="000000"/>
        </w:rPr>
        <w:t xml:space="preserve"> and other medical items such as durable medical equipment (e.g. wheelchairs and prosthetic devices), hypodermic syringes, eyeglasses, and hearing aids. </w:t>
      </w:r>
      <w:r w:rsidR="00E47003">
        <w:rPr>
          <w:rStyle w:val="FootnoteReference"/>
          <w:rFonts w:cs="Arial"/>
          <w:color w:val="000000"/>
        </w:rPr>
        <w:footnoteReference w:id="1"/>
      </w:r>
    </w:p>
    <w:p w:rsidR="00224025" w:rsidRPr="00224025" w:rsidRDefault="00224025" w:rsidP="00224025">
      <w:pPr>
        <w:widowControl w:val="0"/>
        <w:tabs>
          <w:tab w:val="left" w:pos="840"/>
          <w:tab w:val="left" w:pos="1500"/>
          <w:tab w:val="left" w:pos="2280"/>
        </w:tabs>
        <w:autoSpaceDE w:val="0"/>
        <w:autoSpaceDN w:val="0"/>
        <w:adjustRightInd w:val="0"/>
        <w:spacing w:after="0" w:line="240" w:lineRule="auto"/>
        <w:ind w:right="57"/>
        <w:jc w:val="both"/>
        <w:rPr>
          <w:rFonts w:cs="Arial"/>
          <w:color w:val="000000"/>
        </w:rPr>
      </w:pPr>
    </w:p>
    <w:p w:rsidR="00224025" w:rsidRPr="00224025" w:rsidRDefault="00224025" w:rsidP="00224025">
      <w:pPr>
        <w:widowControl w:val="0"/>
        <w:autoSpaceDE w:val="0"/>
        <w:autoSpaceDN w:val="0"/>
        <w:adjustRightInd w:val="0"/>
        <w:spacing w:after="0" w:line="240" w:lineRule="auto"/>
        <w:ind w:right="1042"/>
        <w:jc w:val="both"/>
        <w:rPr>
          <w:rFonts w:cs="Arial"/>
        </w:rPr>
      </w:pPr>
      <w:r w:rsidRPr="00224025">
        <w:rPr>
          <w:rFonts w:cs="Arial"/>
        </w:rPr>
        <w:t>These exemptions effectively exempt all medicines and drugs, whether on a prescription or physician’s work order or a</w:t>
      </w:r>
      <w:r w:rsidRPr="00224025">
        <w:rPr>
          <w:rFonts w:cs="Arial"/>
          <w:spacing w:val="-2"/>
        </w:rPr>
        <w:t>v</w:t>
      </w:r>
      <w:r w:rsidRPr="00224025">
        <w:rPr>
          <w:rFonts w:cs="Arial"/>
        </w:rPr>
        <w:t>a</w:t>
      </w:r>
      <w:r w:rsidRPr="00224025">
        <w:rPr>
          <w:rFonts w:cs="Arial"/>
          <w:spacing w:val="-2"/>
        </w:rPr>
        <w:t>i</w:t>
      </w:r>
      <w:r w:rsidRPr="00224025">
        <w:rPr>
          <w:rFonts w:cs="Arial"/>
        </w:rPr>
        <w:t>lable over the counter and other medical items. Specifically, the above pro</w:t>
      </w:r>
      <w:r w:rsidRPr="00224025">
        <w:rPr>
          <w:rFonts w:cs="Arial"/>
          <w:spacing w:val="1"/>
        </w:rPr>
        <w:t>v</w:t>
      </w:r>
      <w:r w:rsidRPr="00224025">
        <w:rPr>
          <w:rFonts w:cs="Arial"/>
        </w:rPr>
        <w:t>isions provide exemptions for:</w:t>
      </w:r>
    </w:p>
    <w:p w:rsidR="00224025" w:rsidRPr="00224025" w:rsidRDefault="00224025" w:rsidP="00224025">
      <w:pPr>
        <w:widowControl w:val="0"/>
        <w:autoSpaceDE w:val="0"/>
        <w:autoSpaceDN w:val="0"/>
        <w:adjustRightInd w:val="0"/>
        <w:spacing w:before="17" w:after="0" w:line="280" w:lineRule="exact"/>
        <w:jc w:val="both"/>
        <w:rPr>
          <w:rFonts w:cs="Arial"/>
        </w:rPr>
      </w:pPr>
    </w:p>
    <w:p w:rsidR="00224025" w:rsidRPr="00224025" w:rsidRDefault="00224025" w:rsidP="00224025">
      <w:pPr>
        <w:widowControl w:val="0"/>
        <w:tabs>
          <w:tab w:val="left" w:pos="880"/>
        </w:tabs>
        <w:autoSpaceDE w:val="0"/>
        <w:autoSpaceDN w:val="0"/>
        <w:adjustRightInd w:val="0"/>
        <w:spacing w:after="0" w:line="276" w:lineRule="exact"/>
        <w:ind w:right="824"/>
        <w:jc w:val="both"/>
        <w:rPr>
          <w:rFonts w:cs="Arial"/>
        </w:rPr>
      </w:pPr>
      <w:r w:rsidRPr="00224025">
        <w:tab/>
      </w:r>
      <w:r w:rsidRPr="00224025">
        <w:rPr>
          <w:rFonts w:cs="Arial"/>
        </w:rPr>
        <w:t>(1)  prescription</w:t>
      </w:r>
      <w:r w:rsidRPr="00224025">
        <w:t xml:space="preserve"> </w:t>
      </w:r>
      <w:r w:rsidRPr="00224025">
        <w:rPr>
          <w:rFonts w:cs="Arial"/>
        </w:rPr>
        <w:t>medicines, hypodermic syringes, artificial e</w:t>
      </w:r>
      <w:r w:rsidRPr="00224025">
        <w:rPr>
          <w:rFonts w:cs="Arial"/>
          <w:spacing w:val="1"/>
        </w:rPr>
        <w:t>y</w:t>
      </w:r>
      <w:r w:rsidRPr="00224025">
        <w:rPr>
          <w:rFonts w:cs="Arial"/>
        </w:rPr>
        <w:t>es, eyegla</w:t>
      </w:r>
      <w:r w:rsidRPr="00224025">
        <w:rPr>
          <w:rFonts w:cs="Arial"/>
          <w:spacing w:val="1"/>
        </w:rPr>
        <w:t>s</w:t>
      </w:r>
      <w:r w:rsidRPr="00224025">
        <w:rPr>
          <w:rFonts w:cs="Arial"/>
        </w:rPr>
        <w:t xml:space="preserve">ses and related items, contact lenses, etc., </w:t>
      </w:r>
      <w:r w:rsidRPr="00224025">
        <w:rPr>
          <w:rFonts w:cs="Arial"/>
          <w:spacing w:val="-2"/>
        </w:rPr>
        <w:t>w</w:t>
      </w:r>
      <w:r w:rsidRPr="00224025">
        <w:rPr>
          <w:rFonts w:cs="Arial"/>
        </w:rPr>
        <w:t>hen sold on prescription by a licensed physician, denti</w:t>
      </w:r>
      <w:r w:rsidRPr="00224025">
        <w:rPr>
          <w:rFonts w:cs="Arial"/>
          <w:spacing w:val="1"/>
        </w:rPr>
        <w:t>s</w:t>
      </w:r>
      <w:r w:rsidRPr="00224025">
        <w:rPr>
          <w:rFonts w:cs="Arial"/>
        </w:rPr>
        <w:t>t, optometrist, ophthalmologist, optician, aud</w:t>
      </w:r>
      <w:r w:rsidRPr="00224025">
        <w:rPr>
          <w:rFonts w:cs="Arial"/>
          <w:spacing w:val="-1"/>
        </w:rPr>
        <w:t>i</w:t>
      </w:r>
      <w:r w:rsidRPr="00224025">
        <w:rPr>
          <w:rFonts w:cs="Arial"/>
        </w:rPr>
        <w:t>ologist, hearing aid dealer or fitter, nurse practitioner, physician as</w:t>
      </w:r>
      <w:r w:rsidRPr="00224025">
        <w:rPr>
          <w:rFonts w:cs="Arial"/>
          <w:spacing w:val="1"/>
        </w:rPr>
        <w:t>s</w:t>
      </w:r>
      <w:r w:rsidRPr="00224025">
        <w:rPr>
          <w:rFonts w:cs="Arial"/>
          <w:spacing w:val="-1"/>
        </w:rPr>
        <w:t>i</w:t>
      </w:r>
      <w:r w:rsidRPr="00224025">
        <w:rPr>
          <w:rFonts w:cs="Arial"/>
          <w:spacing w:val="1"/>
        </w:rPr>
        <w:t>st</w:t>
      </w:r>
      <w:r w:rsidRPr="00224025">
        <w:rPr>
          <w:rFonts w:cs="Arial"/>
        </w:rPr>
        <w:t>ant, and veterinarian;</w:t>
      </w:r>
    </w:p>
    <w:p w:rsidR="00224025" w:rsidRPr="00224025" w:rsidRDefault="00224025" w:rsidP="00224025">
      <w:pPr>
        <w:widowControl w:val="0"/>
        <w:autoSpaceDE w:val="0"/>
        <w:autoSpaceDN w:val="0"/>
        <w:adjustRightInd w:val="0"/>
        <w:spacing w:before="9" w:after="0" w:line="280" w:lineRule="exact"/>
        <w:jc w:val="both"/>
        <w:rPr>
          <w:rFonts w:cs="Arial"/>
        </w:rPr>
      </w:pPr>
    </w:p>
    <w:p w:rsidR="00224025" w:rsidRPr="00224025" w:rsidRDefault="00224025" w:rsidP="00224025">
      <w:pPr>
        <w:widowControl w:val="0"/>
        <w:tabs>
          <w:tab w:val="left" w:pos="880"/>
        </w:tabs>
        <w:autoSpaceDE w:val="0"/>
        <w:autoSpaceDN w:val="0"/>
        <w:adjustRightInd w:val="0"/>
        <w:spacing w:after="0" w:line="239" w:lineRule="auto"/>
        <w:ind w:right="539"/>
        <w:jc w:val="both"/>
        <w:rPr>
          <w:rFonts w:cs="Arial"/>
        </w:rPr>
      </w:pPr>
      <w:r w:rsidRPr="00224025">
        <w:tab/>
      </w:r>
      <w:r w:rsidRPr="00224025">
        <w:rPr>
          <w:rFonts w:cs="Arial"/>
        </w:rPr>
        <w:t>(2) prescription</w:t>
      </w:r>
      <w:r w:rsidRPr="00224025">
        <w:rPr>
          <w:rFonts w:cs="Arial"/>
          <w:spacing w:val="8"/>
        </w:rPr>
        <w:t xml:space="preserve"> </w:t>
      </w:r>
      <w:r w:rsidRPr="00224025">
        <w:rPr>
          <w:rFonts w:cs="Arial"/>
        </w:rPr>
        <w:t>drugs</w:t>
      </w:r>
      <w:r w:rsidRPr="00224025">
        <w:rPr>
          <w:rFonts w:cs="Arial"/>
          <w:spacing w:val="8"/>
        </w:rPr>
        <w:t xml:space="preserve"> </w:t>
      </w:r>
      <w:r w:rsidRPr="00224025">
        <w:rPr>
          <w:rFonts w:cs="Arial"/>
        </w:rPr>
        <w:t>purchased</w:t>
      </w:r>
      <w:r w:rsidRPr="00224025">
        <w:rPr>
          <w:rFonts w:cs="Arial"/>
          <w:spacing w:val="8"/>
        </w:rPr>
        <w:t xml:space="preserve"> </w:t>
      </w:r>
      <w:r w:rsidRPr="00224025">
        <w:rPr>
          <w:rFonts w:cs="Arial"/>
        </w:rPr>
        <w:t>for</w:t>
      </w:r>
      <w:r w:rsidRPr="00224025">
        <w:rPr>
          <w:rFonts w:cs="Arial"/>
          <w:spacing w:val="8"/>
        </w:rPr>
        <w:t xml:space="preserve"> </w:t>
      </w:r>
      <w:r w:rsidRPr="00224025">
        <w:rPr>
          <w:rFonts w:cs="Arial"/>
        </w:rPr>
        <w:t>use</w:t>
      </w:r>
      <w:r w:rsidRPr="00224025">
        <w:rPr>
          <w:rFonts w:cs="Arial"/>
          <w:spacing w:val="8"/>
        </w:rPr>
        <w:t xml:space="preserve"> </w:t>
      </w:r>
      <w:r w:rsidRPr="00224025">
        <w:rPr>
          <w:rFonts w:cs="Arial"/>
        </w:rPr>
        <w:t>by</w:t>
      </w:r>
      <w:r w:rsidRPr="00224025">
        <w:rPr>
          <w:rFonts w:cs="Arial"/>
          <w:spacing w:val="8"/>
        </w:rPr>
        <w:t xml:space="preserve"> </w:t>
      </w:r>
      <w:r w:rsidRPr="00224025">
        <w:rPr>
          <w:rFonts w:cs="Arial"/>
        </w:rPr>
        <w:t>a</w:t>
      </w:r>
      <w:r w:rsidRPr="00224025">
        <w:rPr>
          <w:rFonts w:cs="Arial"/>
          <w:spacing w:val="9"/>
        </w:rPr>
        <w:t xml:space="preserve"> </w:t>
      </w:r>
      <w:r w:rsidRPr="00224025">
        <w:rPr>
          <w:rFonts w:cs="Arial"/>
        </w:rPr>
        <w:t>licensed</w:t>
      </w:r>
      <w:r w:rsidRPr="00224025">
        <w:rPr>
          <w:rFonts w:cs="Arial"/>
          <w:spacing w:val="8"/>
        </w:rPr>
        <w:t xml:space="preserve"> </w:t>
      </w:r>
      <w:r w:rsidRPr="00224025">
        <w:rPr>
          <w:rFonts w:cs="Arial"/>
        </w:rPr>
        <w:t>physician,</w:t>
      </w:r>
      <w:r w:rsidRPr="00224025">
        <w:rPr>
          <w:rFonts w:cs="Arial"/>
          <w:spacing w:val="8"/>
        </w:rPr>
        <w:t xml:space="preserve"> </w:t>
      </w:r>
      <w:r w:rsidRPr="00224025">
        <w:rPr>
          <w:rFonts w:cs="Arial"/>
        </w:rPr>
        <w:t>optometrist,</w:t>
      </w:r>
      <w:r w:rsidRPr="00224025">
        <w:rPr>
          <w:rFonts w:cs="Arial"/>
          <w:spacing w:val="8"/>
        </w:rPr>
        <w:t xml:space="preserve"> </w:t>
      </w:r>
      <w:r w:rsidRPr="00224025">
        <w:rPr>
          <w:rFonts w:cs="Arial"/>
        </w:rPr>
        <w:t>licensed nurse</w:t>
      </w:r>
      <w:r w:rsidRPr="00224025">
        <w:rPr>
          <w:rFonts w:cs="Arial"/>
          <w:spacing w:val="1"/>
        </w:rPr>
        <w:t xml:space="preserve"> </w:t>
      </w:r>
      <w:r w:rsidRPr="00224025">
        <w:rPr>
          <w:rFonts w:cs="Arial"/>
        </w:rPr>
        <w:t>pra</w:t>
      </w:r>
      <w:r w:rsidRPr="00224025">
        <w:rPr>
          <w:rFonts w:cs="Arial"/>
          <w:spacing w:val="1"/>
        </w:rPr>
        <w:t>c</w:t>
      </w:r>
      <w:r w:rsidRPr="00224025">
        <w:rPr>
          <w:rFonts w:cs="Arial"/>
        </w:rPr>
        <w:t>titioner,</w:t>
      </w:r>
      <w:r w:rsidRPr="00224025">
        <w:rPr>
          <w:rFonts w:cs="Arial"/>
          <w:spacing w:val="1"/>
        </w:rPr>
        <w:t xml:space="preserve"> </w:t>
      </w:r>
      <w:r w:rsidRPr="00224025">
        <w:rPr>
          <w:rFonts w:cs="Arial"/>
        </w:rPr>
        <w:t>or</w:t>
      </w:r>
      <w:r w:rsidRPr="00224025">
        <w:rPr>
          <w:rFonts w:cs="Arial"/>
          <w:spacing w:val="1"/>
        </w:rPr>
        <w:t xml:space="preserve"> </w:t>
      </w:r>
      <w:r w:rsidRPr="00224025">
        <w:rPr>
          <w:rFonts w:cs="Arial"/>
        </w:rPr>
        <w:t>licensed</w:t>
      </w:r>
      <w:r w:rsidRPr="00224025">
        <w:rPr>
          <w:rFonts w:cs="Arial"/>
          <w:spacing w:val="1"/>
        </w:rPr>
        <w:t xml:space="preserve"> </w:t>
      </w:r>
      <w:r w:rsidRPr="00224025">
        <w:rPr>
          <w:rFonts w:cs="Arial"/>
        </w:rPr>
        <w:t>physician</w:t>
      </w:r>
      <w:r w:rsidRPr="00224025">
        <w:rPr>
          <w:rFonts w:cs="Arial"/>
          <w:spacing w:val="1"/>
        </w:rPr>
        <w:t xml:space="preserve"> a</w:t>
      </w:r>
      <w:r w:rsidRPr="00224025">
        <w:rPr>
          <w:rFonts w:cs="Arial"/>
        </w:rPr>
        <w:t>ssistant in his</w:t>
      </w:r>
      <w:r w:rsidRPr="00224025">
        <w:rPr>
          <w:rFonts w:cs="Arial"/>
          <w:spacing w:val="1"/>
        </w:rPr>
        <w:t xml:space="preserve"> </w:t>
      </w:r>
      <w:r w:rsidRPr="00224025">
        <w:rPr>
          <w:rFonts w:cs="Arial"/>
        </w:rPr>
        <w:t>professional p</w:t>
      </w:r>
      <w:r w:rsidRPr="00224025">
        <w:rPr>
          <w:rFonts w:cs="Arial"/>
          <w:spacing w:val="2"/>
        </w:rPr>
        <w:t>r</w:t>
      </w:r>
      <w:r w:rsidRPr="00224025">
        <w:rPr>
          <w:rFonts w:cs="Arial"/>
        </w:rPr>
        <w:t>actice despite the legal structure of the practice;</w:t>
      </w:r>
    </w:p>
    <w:p w:rsidR="00224025" w:rsidRPr="00224025" w:rsidRDefault="00224025" w:rsidP="00224025">
      <w:pPr>
        <w:widowControl w:val="0"/>
        <w:autoSpaceDE w:val="0"/>
        <w:autoSpaceDN w:val="0"/>
        <w:adjustRightInd w:val="0"/>
        <w:spacing w:before="13" w:after="0" w:line="280" w:lineRule="exact"/>
        <w:jc w:val="both"/>
        <w:rPr>
          <w:rFonts w:cs="Arial"/>
        </w:rPr>
      </w:pPr>
    </w:p>
    <w:p w:rsidR="00224025" w:rsidRPr="00224025" w:rsidRDefault="00224025" w:rsidP="00224025">
      <w:pPr>
        <w:widowControl w:val="0"/>
        <w:tabs>
          <w:tab w:val="left" w:pos="880"/>
        </w:tabs>
        <w:autoSpaceDE w:val="0"/>
        <w:autoSpaceDN w:val="0"/>
        <w:adjustRightInd w:val="0"/>
        <w:spacing w:after="0" w:line="240" w:lineRule="auto"/>
        <w:ind w:right="-20"/>
        <w:jc w:val="both"/>
        <w:rPr>
          <w:rFonts w:cs="Arial"/>
        </w:rPr>
      </w:pPr>
      <w:r w:rsidRPr="00224025">
        <w:rPr>
          <w:rFonts w:cs="Arial"/>
        </w:rPr>
        <w:tab/>
        <w:t>(3) hemodialy</w:t>
      </w:r>
      <w:r w:rsidRPr="00224025">
        <w:rPr>
          <w:rFonts w:cs="Arial"/>
          <w:spacing w:val="1"/>
        </w:rPr>
        <w:t>s</w:t>
      </w:r>
      <w:r w:rsidRPr="00224025">
        <w:rPr>
          <w:rFonts w:cs="Arial"/>
        </w:rPr>
        <w:t>is and peritoneal dial</w:t>
      </w:r>
      <w:r w:rsidRPr="00224025">
        <w:rPr>
          <w:rFonts w:cs="Arial"/>
          <w:spacing w:val="1"/>
        </w:rPr>
        <w:t>y</w:t>
      </w:r>
      <w:r w:rsidRPr="00224025">
        <w:rPr>
          <w:rFonts w:cs="Arial"/>
        </w:rPr>
        <w:t>sis equip</w:t>
      </w:r>
      <w:r w:rsidRPr="00224025">
        <w:rPr>
          <w:rFonts w:cs="Arial"/>
          <w:spacing w:val="2"/>
        </w:rPr>
        <w:t>m</w:t>
      </w:r>
      <w:r w:rsidRPr="00224025">
        <w:rPr>
          <w:rFonts w:cs="Arial"/>
        </w:rPr>
        <w:t>ent;</w:t>
      </w:r>
    </w:p>
    <w:p w:rsidR="00224025" w:rsidRPr="00224025" w:rsidRDefault="00224025" w:rsidP="00224025">
      <w:pPr>
        <w:widowControl w:val="0"/>
        <w:autoSpaceDE w:val="0"/>
        <w:autoSpaceDN w:val="0"/>
        <w:adjustRightInd w:val="0"/>
        <w:spacing w:before="18" w:after="0" w:line="280" w:lineRule="exact"/>
        <w:jc w:val="both"/>
        <w:rPr>
          <w:rFonts w:cs="Arial"/>
        </w:rPr>
      </w:pPr>
    </w:p>
    <w:p w:rsidR="00224025" w:rsidRPr="00224025" w:rsidRDefault="00224025" w:rsidP="00224025">
      <w:pPr>
        <w:widowControl w:val="0"/>
        <w:tabs>
          <w:tab w:val="left" w:pos="880"/>
        </w:tabs>
        <w:autoSpaceDE w:val="0"/>
        <w:autoSpaceDN w:val="0"/>
        <w:adjustRightInd w:val="0"/>
        <w:spacing w:after="0" w:line="274" w:lineRule="exact"/>
        <w:ind w:right="540"/>
        <w:jc w:val="both"/>
        <w:rPr>
          <w:rFonts w:cs="Arial"/>
        </w:rPr>
      </w:pPr>
      <w:r w:rsidRPr="00224025">
        <w:rPr>
          <w:rFonts w:cs="Arial"/>
        </w:rPr>
        <w:tab/>
        <w:t>(4) medicines</w:t>
      </w:r>
      <w:r w:rsidRPr="00224025">
        <w:rPr>
          <w:rFonts w:cs="Arial"/>
          <w:spacing w:val="66"/>
        </w:rPr>
        <w:t xml:space="preserve"> </w:t>
      </w:r>
      <w:r w:rsidRPr="00224025">
        <w:rPr>
          <w:rFonts w:cs="Arial"/>
        </w:rPr>
        <w:t>purchased</w:t>
      </w:r>
      <w:r w:rsidRPr="00224025">
        <w:rPr>
          <w:rFonts w:cs="Arial"/>
          <w:spacing w:val="66"/>
        </w:rPr>
        <w:t xml:space="preserve"> </w:t>
      </w:r>
      <w:r w:rsidRPr="00224025">
        <w:rPr>
          <w:rFonts w:cs="Arial"/>
        </w:rPr>
        <w:t>for</w:t>
      </w:r>
      <w:r w:rsidRPr="00224025">
        <w:rPr>
          <w:rFonts w:cs="Arial"/>
          <w:spacing w:val="66"/>
        </w:rPr>
        <w:t xml:space="preserve"> </w:t>
      </w:r>
      <w:r w:rsidRPr="00224025">
        <w:rPr>
          <w:rFonts w:cs="Arial"/>
        </w:rPr>
        <w:t>use</w:t>
      </w:r>
      <w:r w:rsidRPr="00224025">
        <w:rPr>
          <w:rFonts w:cs="Arial"/>
          <w:spacing w:val="66"/>
        </w:rPr>
        <w:t xml:space="preserve"> </w:t>
      </w:r>
      <w:r w:rsidRPr="00224025">
        <w:rPr>
          <w:rFonts w:cs="Arial"/>
        </w:rPr>
        <w:t>or</w:t>
      </w:r>
      <w:r w:rsidRPr="00224025">
        <w:rPr>
          <w:rFonts w:cs="Arial"/>
          <w:spacing w:val="66"/>
        </w:rPr>
        <w:t xml:space="preserve"> </w:t>
      </w:r>
      <w:r w:rsidRPr="00224025">
        <w:rPr>
          <w:rFonts w:cs="Arial"/>
        </w:rPr>
        <w:t>consumption</w:t>
      </w:r>
      <w:r w:rsidRPr="00224025">
        <w:rPr>
          <w:rFonts w:cs="Arial"/>
          <w:spacing w:val="65"/>
        </w:rPr>
        <w:t xml:space="preserve"> </w:t>
      </w:r>
      <w:r w:rsidRPr="00224025">
        <w:rPr>
          <w:rFonts w:cs="Arial"/>
        </w:rPr>
        <w:t>by</w:t>
      </w:r>
      <w:r w:rsidRPr="00224025">
        <w:rPr>
          <w:rFonts w:cs="Arial"/>
          <w:spacing w:val="65"/>
        </w:rPr>
        <w:t xml:space="preserve"> </w:t>
      </w:r>
      <w:r w:rsidRPr="00224025">
        <w:rPr>
          <w:rFonts w:cs="Arial"/>
        </w:rPr>
        <w:t>a</w:t>
      </w:r>
      <w:r w:rsidRPr="00224025">
        <w:rPr>
          <w:rFonts w:cs="Arial"/>
          <w:spacing w:val="65"/>
        </w:rPr>
        <w:t xml:space="preserve"> </w:t>
      </w:r>
      <w:r w:rsidRPr="00224025">
        <w:rPr>
          <w:rFonts w:cs="Arial"/>
        </w:rPr>
        <w:t>licensed</w:t>
      </w:r>
      <w:r w:rsidRPr="00224025">
        <w:rPr>
          <w:rFonts w:cs="Arial"/>
          <w:spacing w:val="65"/>
        </w:rPr>
        <w:t xml:space="preserve"> </w:t>
      </w:r>
      <w:r w:rsidRPr="00224025">
        <w:rPr>
          <w:rFonts w:cs="Arial"/>
        </w:rPr>
        <w:t>hospital,</w:t>
      </w:r>
      <w:r w:rsidRPr="00224025">
        <w:rPr>
          <w:rFonts w:cs="Arial"/>
          <w:spacing w:val="65"/>
        </w:rPr>
        <w:t xml:space="preserve"> </w:t>
      </w:r>
      <w:r w:rsidRPr="00224025">
        <w:rPr>
          <w:rFonts w:cs="Arial"/>
        </w:rPr>
        <w:t>nursing home, clinic, or similar corporation;</w:t>
      </w:r>
    </w:p>
    <w:p w:rsidR="00224025" w:rsidRPr="00224025" w:rsidRDefault="00224025" w:rsidP="00224025">
      <w:pPr>
        <w:widowControl w:val="0"/>
        <w:autoSpaceDE w:val="0"/>
        <w:autoSpaceDN w:val="0"/>
        <w:adjustRightInd w:val="0"/>
        <w:spacing w:before="15" w:after="0" w:line="280" w:lineRule="exact"/>
        <w:jc w:val="both"/>
        <w:rPr>
          <w:rFonts w:cs="Arial"/>
        </w:rPr>
      </w:pPr>
    </w:p>
    <w:p w:rsidR="00224025" w:rsidRPr="00224025" w:rsidRDefault="00224025" w:rsidP="00224025">
      <w:pPr>
        <w:widowControl w:val="0"/>
        <w:tabs>
          <w:tab w:val="left" w:pos="880"/>
        </w:tabs>
        <w:autoSpaceDE w:val="0"/>
        <w:autoSpaceDN w:val="0"/>
        <w:adjustRightInd w:val="0"/>
        <w:spacing w:after="0" w:line="274" w:lineRule="exact"/>
        <w:ind w:right="829"/>
        <w:jc w:val="both"/>
        <w:rPr>
          <w:rFonts w:cs="Arial"/>
        </w:rPr>
      </w:pPr>
      <w:r w:rsidRPr="00224025">
        <w:rPr>
          <w:rFonts w:cs="Arial"/>
        </w:rPr>
        <w:tab/>
        <w:t>(5) nonprescription or "over the counter" drugs and medicines when purchased for the cure, mitigation, treatment or prevention of disease in human beings Only those nonprescription drugs and proprietary medicines purchased for the cure, mitigation, treatment or p</w:t>
      </w:r>
      <w:r w:rsidRPr="00224025">
        <w:rPr>
          <w:rFonts w:cs="Arial"/>
          <w:spacing w:val="1"/>
        </w:rPr>
        <w:t>r</w:t>
      </w:r>
      <w:r w:rsidRPr="00224025">
        <w:rPr>
          <w:rFonts w:cs="Arial"/>
        </w:rPr>
        <w:t>evention</w:t>
      </w:r>
      <w:r w:rsidRPr="00224025">
        <w:rPr>
          <w:rFonts w:cs="Arial"/>
          <w:spacing w:val="1"/>
        </w:rPr>
        <w:t xml:space="preserve"> </w:t>
      </w:r>
      <w:r w:rsidRPr="00224025">
        <w:rPr>
          <w:rFonts w:cs="Arial"/>
        </w:rPr>
        <w:t>of</w:t>
      </w:r>
      <w:r w:rsidRPr="00224025">
        <w:rPr>
          <w:rFonts w:cs="Arial"/>
          <w:spacing w:val="1"/>
        </w:rPr>
        <w:t xml:space="preserve"> </w:t>
      </w:r>
      <w:r w:rsidRPr="00224025">
        <w:rPr>
          <w:rFonts w:cs="Arial"/>
        </w:rPr>
        <w:t>disease</w:t>
      </w:r>
      <w:r w:rsidRPr="00224025">
        <w:rPr>
          <w:rFonts w:cs="Arial"/>
          <w:spacing w:val="1"/>
        </w:rPr>
        <w:t xml:space="preserve"> </w:t>
      </w:r>
      <w:r w:rsidRPr="00224025">
        <w:rPr>
          <w:rFonts w:cs="Arial"/>
        </w:rPr>
        <w:t>in</w:t>
      </w:r>
      <w:r w:rsidRPr="00224025">
        <w:rPr>
          <w:rFonts w:cs="Arial"/>
          <w:spacing w:val="2"/>
        </w:rPr>
        <w:t xml:space="preserve"> </w:t>
      </w:r>
      <w:r w:rsidRPr="00224025">
        <w:rPr>
          <w:rFonts w:cs="Arial"/>
        </w:rPr>
        <w:t>human</w:t>
      </w:r>
      <w:r w:rsidRPr="00224025">
        <w:rPr>
          <w:rFonts w:cs="Arial"/>
          <w:spacing w:val="1"/>
        </w:rPr>
        <w:t xml:space="preserve"> </w:t>
      </w:r>
      <w:r w:rsidRPr="00224025">
        <w:rPr>
          <w:rFonts w:cs="Arial"/>
        </w:rPr>
        <w:t>beings</w:t>
      </w:r>
      <w:r w:rsidRPr="00224025">
        <w:rPr>
          <w:rFonts w:cs="Arial"/>
          <w:spacing w:val="1"/>
        </w:rPr>
        <w:t xml:space="preserve"> </w:t>
      </w:r>
      <w:r w:rsidRPr="00224025">
        <w:rPr>
          <w:rFonts w:cs="Arial"/>
        </w:rPr>
        <w:t>qualify</w:t>
      </w:r>
      <w:r w:rsidRPr="00224025">
        <w:rPr>
          <w:rFonts w:cs="Arial"/>
          <w:spacing w:val="1"/>
        </w:rPr>
        <w:t xml:space="preserve"> </w:t>
      </w:r>
      <w:r w:rsidRPr="00224025">
        <w:rPr>
          <w:rFonts w:cs="Arial"/>
        </w:rPr>
        <w:t>for</w:t>
      </w:r>
      <w:r w:rsidRPr="00224025">
        <w:rPr>
          <w:rFonts w:cs="Arial"/>
          <w:spacing w:val="1"/>
        </w:rPr>
        <w:t xml:space="preserve"> </w:t>
      </w:r>
      <w:r w:rsidRPr="00224025">
        <w:rPr>
          <w:rFonts w:cs="Arial"/>
        </w:rPr>
        <w:t>the nonprescription drugs exemption. Cosmetics and toiletry items, except those whi</w:t>
      </w:r>
      <w:r w:rsidRPr="00224025">
        <w:rPr>
          <w:rFonts w:cs="Arial"/>
          <w:spacing w:val="1"/>
        </w:rPr>
        <w:t>c</w:t>
      </w:r>
      <w:r w:rsidRPr="00224025">
        <w:rPr>
          <w:rFonts w:cs="Arial"/>
        </w:rPr>
        <w:t xml:space="preserve">h contain </w:t>
      </w:r>
      <w:r w:rsidRPr="00224025">
        <w:rPr>
          <w:rFonts w:cs="Arial"/>
          <w:spacing w:val="2"/>
        </w:rPr>
        <w:t>m</w:t>
      </w:r>
      <w:r w:rsidRPr="00224025">
        <w:rPr>
          <w:rFonts w:cs="Arial"/>
        </w:rPr>
        <w:t>edicinal ingredients</w:t>
      </w:r>
      <w:r w:rsidRPr="00224025">
        <w:rPr>
          <w:rFonts w:cs="Arial"/>
          <w:spacing w:val="2"/>
        </w:rPr>
        <w:t xml:space="preserve"> </w:t>
      </w:r>
      <w:r w:rsidRPr="00224025">
        <w:rPr>
          <w:rFonts w:cs="Arial"/>
        </w:rPr>
        <w:t xml:space="preserve">and which are </w:t>
      </w:r>
      <w:r w:rsidRPr="00224025">
        <w:rPr>
          <w:rFonts w:cs="Arial"/>
        </w:rPr>
        <w:lastRenderedPageBreak/>
        <w:t>prin</w:t>
      </w:r>
      <w:r w:rsidRPr="00224025">
        <w:rPr>
          <w:rFonts w:cs="Arial"/>
          <w:spacing w:val="1"/>
        </w:rPr>
        <w:t>ci</w:t>
      </w:r>
      <w:r w:rsidRPr="00224025">
        <w:rPr>
          <w:rFonts w:cs="Arial"/>
        </w:rPr>
        <w:t>pally</w:t>
      </w:r>
      <w:r w:rsidRPr="00224025">
        <w:rPr>
          <w:rFonts w:cs="Arial"/>
          <w:spacing w:val="1"/>
        </w:rPr>
        <w:t xml:space="preserve"> </w:t>
      </w:r>
      <w:r w:rsidRPr="00224025">
        <w:rPr>
          <w:rFonts w:cs="Arial"/>
        </w:rPr>
        <w:t>used for medi</w:t>
      </w:r>
      <w:r w:rsidRPr="00224025">
        <w:rPr>
          <w:rFonts w:cs="Arial"/>
          <w:spacing w:val="1"/>
        </w:rPr>
        <w:t>c</w:t>
      </w:r>
      <w:r w:rsidRPr="00224025">
        <w:rPr>
          <w:rFonts w:cs="Arial"/>
        </w:rPr>
        <w:t xml:space="preserve">al purposes, are taxable.; </w:t>
      </w:r>
    </w:p>
    <w:p w:rsidR="00224025" w:rsidRPr="00224025" w:rsidRDefault="00224025" w:rsidP="00224025">
      <w:pPr>
        <w:widowControl w:val="0"/>
        <w:autoSpaceDE w:val="0"/>
        <w:autoSpaceDN w:val="0"/>
        <w:adjustRightInd w:val="0"/>
        <w:spacing w:before="13" w:after="0" w:line="280" w:lineRule="exact"/>
        <w:jc w:val="both"/>
        <w:rPr>
          <w:rFonts w:cs="Arial"/>
        </w:rPr>
      </w:pPr>
    </w:p>
    <w:p w:rsidR="00224025" w:rsidRPr="00224025" w:rsidRDefault="00224025" w:rsidP="00224025">
      <w:pPr>
        <w:widowControl w:val="0"/>
        <w:tabs>
          <w:tab w:val="left" w:pos="880"/>
        </w:tabs>
        <w:autoSpaceDE w:val="0"/>
        <w:autoSpaceDN w:val="0"/>
        <w:adjustRightInd w:val="0"/>
        <w:spacing w:after="0" w:line="276" w:lineRule="exact"/>
        <w:ind w:right="539"/>
        <w:jc w:val="both"/>
        <w:rPr>
          <w:rFonts w:cs="Arial"/>
        </w:rPr>
      </w:pPr>
      <w:r w:rsidRPr="00224025">
        <w:rPr>
          <w:rFonts w:cs="Arial"/>
        </w:rPr>
        <w:tab/>
        <w:t>(6) samples</w:t>
      </w:r>
      <w:r w:rsidRPr="00224025">
        <w:rPr>
          <w:rFonts w:cs="Arial"/>
          <w:spacing w:val="29"/>
        </w:rPr>
        <w:t xml:space="preserve"> </w:t>
      </w:r>
      <w:r w:rsidRPr="00224025">
        <w:rPr>
          <w:rFonts w:cs="Arial"/>
        </w:rPr>
        <w:t>of</w:t>
      </w:r>
      <w:r w:rsidRPr="00224025">
        <w:rPr>
          <w:rFonts w:cs="Arial"/>
          <w:spacing w:val="29"/>
        </w:rPr>
        <w:t xml:space="preserve"> </w:t>
      </w:r>
      <w:r w:rsidRPr="00224025">
        <w:rPr>
          <w:rFonts w:cs="Arial"/>
        </w:rPr>
        <w:t>prescription</w:t>
      </w:r>
      <w:r w:rsidRPr="00224025">
        <w:rPr>
          <w:rFonts w:cs="Arial"/>
          <w:spacing w:val="29"/>
        </w:rPr>
        <w:t xml:space="preserve"> </w:t>
      </w:r>
      <w:r w:rsidRPr="00224025">
        <w:rPr>
          <w:rFonts w:cs="Arial"/>
        </w:rPr>
        <w:t>and</w:t>
      </w:r>
      <w:r w:rsidRPr="00224025">
        <w:rPr>
          <w:rFonts w:cs="Arial"/>
          <w:spacing w:val="29"/>
        </w:rPr>
        <w:t xml:space="preserve"> </w:t>
      </w:r>
      <w:r w:rsidRPr="00224025">
        <w:rPr>
          <w:rFonts w:cs="Arial"/>
        </w:rPr>
        <w:t>nonprescription</w:t>
      </w:r>
      <w:r w:rsidRPr="00224025">
        <w:rPr>
          <w:rFonts w:cs="Arial"/>
          <w:spacing w:val="29"/>
        </w:rPr>
        <w:t xml:space="preserve"> </w:t>
      </w:r>
      <w:r w:rsidRPr="00224025">
        <w:rPr>
          <w:rFonts w:cs="Arial"/>
        </w:rPr>
        <w:t>drugs,</w:t>
      </w:r>
      <w:r w:rsidRPr="00224025">
        <w:rPr>
          <w:rFonts w:cs="Arial"/>
          <w:spacing w:val="29"/>
        </w:rPr>
        <w:t xml:space="preserve"> </w:t>
      </w:r>
      <w:r w:rsidRPr="00224025">
        <w:rPr>
          <w:rFonts w:cs="Arial"/>
        </w:rPr>
        <w:t>distributed</w:t>
      </w:r>
      <w:r w:rsidRPr="00224025">
        <w:rPr>
          <w:rFonts w:cs="Arial"/>
          <w:spacing w:val="29"/>
        </w:rPr>
        <w:t xml:space="preserve"> </w:t>
      </w:r>
      <w:r w:rsidRPr="00224025">
        <w:rPr>
          <w:rFonts w:cs="Arial"/>
        </w:rPr>
        <w:t>free</w:t>
      </w:r>
      <w:r w:rsidRPr="00224025">
        <w:rPr>
          <w:rFonts w:cs="Arial"/>
          <w:spacing w:val="29"/>
        </w:rPr>
        <w:t xml:space="preserve"> </w:t>
      </w:r>
      <w:r w:rsidRPr="00224025">
        <w:rPr>
          <w:rFonts w:cs="Arial"/>
        </w:rPr>
        <w:t>of</w:t>
      </w:r>
      <w:r w:rsidRPr="00224025">
        <w:rPr>
          <w:rFonts w:cs="Arial"/>
          <w:spacing w:val="29"/>
        </w:rPr>
        <w:t xml:space="preserve"> </w:t>
      </w:r>
      <w:r w:rsidRPr="00224025">
        <w:rPr>
          <w:rFonts w:cs="Arial"/>
        </w:rPr>
        <w:t>charge</w:t>
      </w:r>
      <w:r w:rsidRPr="00224025">
        <w:rPr>
          <w:rFonts w:cs="Arial"/>
          <w:spacing w:val="29"/>
        </w:rPr>
        <w:t xml:space="preserve"> </w:t>
      </w:r>
      <w:r w:rsidRPr="00224025">
        <w:rPr>
          <w:rFonts w:cs="Arial"/>
        </w:rPr>
        <w:t>in certain instances;</w:t>
      </w:r>
    </w:p>
    <w:p w:rsidR="00224025" w:rsidRPr="00224025" w:rsidRDefault="00224025" w:rsidP="00224025">
      <w:pPr>
        <w:widowControl w:val="0"/>
        <w:tabs>
          <w:tab w:val="left" w:pos="880"/>
        </w:tabs>
        <w:autoSpaceDE w:val="0"/>
        <w:autoSpaceDN w:val="0"/>
        <w:adjustRightInd w:val="0"/>
        <w:spacing w:after="0" w:line="276" w:lineRule="exact"/>
        <w:ind w:right="539"/>
        <w:jc w:val="both"/>
        <w:rPr>
          <w:rFonts w:cs="Arial"/>
        </w:rPr>
      </w:pPr>
    </w:p>
    <w:p w:rsidR="00224025" w:rsidRPr="00224025" w:rsidRDefault="00224025" w:rsidP="00224025">
      <w:pPr>
        <w:widowControl w:val="0"/>
        <w:tabs>
          <w:tab w:val="left" w:pos="880"/>
        </w:tabs>
        <w:autoSpaceDE w:val="0"/>
        <w:autoSpaceDN w:val="0"/>
        <w:adjustRightInd w:val="0"/>
        <w:spacing w:after="0" w:line="276" w:lineRule="exact"/>
        <w:ind w:right="539"/>
        <w:jc w:val="both"/>
        <w:rPr>
          <w:rFonts w:cs="Arial"/>
        </w:rPr>
      </w:pPr>
      <w:r w:rsidRPr="00224025">
        <w:rPr>
          <w:rFonts w:cs="Arial"/>
        </w:rPr>
        <w:tab/>
        <w:t>(7) durable medical equipment and devices, and equipment, devices or chemical reagents that may be used by a diabetic to test or monitor blood or urine.</w:t>
      </w:r>
    </w:p>
    <w:p w:rsidR="00224025" w:rsidRPr="00224025" w:rsidRDefault="00224025" w:rsidP="00224025">
      <w:pPr>
        <w:widowControl w:val="0"/>
        <w:tabs>
          <w:tab w:val="left" w:pos="880"/>
        </w:tabs>
        <w:autoSpaceDE w:val="0"/>
        <w:autoSpaceDN w:val="0"/>
        <w:adjustRightInd w:val="0"/>
        <w:spacing w:after="0" w:line="276" w:lineRule="exact"/>
        <w:ind w:right="539"/>
        <w:jc w:val="both"/>
        <w:rPr>
          <w:rFonts w:cs="Arial"/>
        </w:rPr>
      </w:pPr>
    </w:p>
    <w:p w:rsidR="00224025" w:rsidRPr="00224025" w:rsidRDefault="00224025" w:rsidP="00224025">
      <w:pPr>
        <w:widowControl w:val="0"/>
        <w:tabs>
          <w:tab w:val="left" w:pos="880"/>
        </w:tabs>
        <w:autoSpaceDE w:val="0"/>
        <w:autoSpaceDN w:val="0"/>
        <w:adjustRightInd w:val="0"/>
        <w:spacing w:after="0" w:line="276" w:lineRule="exact"/>
        <w:ind w:right="539"/>
        <w:rPr>
          <w:rFonts w:cs="Arial"/>
        </w:rPr>
      </w:pPr>
      <w:r w:rsidRPr="00224025">
        <w:rPr>
          <w:rFonts w:cs="Arial"/>
        </w:rPr>
        <w:tab/>
      </w:r>
    </w:p>
    <w:p w:rsidR="00A324D4" w:rsidRPr="00065BF6" w:rsidRDefault="00A324D4" w:rsidP="00A324D4">
      <w:pPr>
        <w:pBdr>
          <w:bottom w:val="single" w:sz="18" w:space="1" w:color="17365D" w:themeColor="text2" w:themeShade="BF"/>
        </w:pBdr>
        <w:jc w:val="right"/>
        <w:rPr>
          <w:color w:val="17365D" w:themeColor="text2" w:themeShade="BF"/>
          <w:sz w:val="36"/>
          <w:szCs w:val="36"/>
        </w:rPr>
      </w:pPr>
      <w:r w:rsidRPr="00065BF6">
        <w:rPr>
          <w:color w:val="17365D" w:themeColor="text2" w:themeShade="BF"/>
          <w:sz w:val="36"/>
          <w:szCs w:val="36"/>
        </w:rPr>
        <w:t>Purpose of the Preference</w:t>
      </w:r>
    </w:p>
    <w:p w:rsidR="00E47003" w:rsidRDefault="00E47003" w:rsidP="00CE792B">
      <w:pPr>
        <w:widowControl w:val="0"/>
        <w:autoSpaceDE w:val="0"/>
        <w:autoSpaceDN w:val="0"/>
        <w:adjustRightInd w:val="0"/>
        <w:spacing w:after="0"/>
        <w:ind w:right="-1080"/>
        <w:jc w:val="both"/>
        <w:rPr>
          <w:rFonts w:cs="Arial"/>
        </w:rPr>
      </w:pPr>
    </w:p>
    <w:p w:rsidR="00224025" w:rsidRPr="00224025" w:rsidRDefault="00224025" w:rsidP="00065BF6">
      <w:pPr>
        <w:widowControl w:val="0"/>
        <w:autoSpaceDE w:val="0"/>
        <w:autoSpaceDN w:val="0"/>
        <w:adjustRightInd w:val="0"/>
        <w:spacing w:after="0"/>
        <w:jc w:val="both"/>
        <w:rPr>
          <w:rFonts w:cs="Arial"/>
        </w:rPr>
      </w:pPr>
      <w:r w:rsidRPr="00224025">
        <w:rPr>
          <w:rFonts w:cs="Arial"/>
        </w:rPr>
        <w:t>The exemption from the R</w:t>
      </w:r>
      <w:r w:rsidRPr="00224025">
        <w:rPr>
          <w:rFonts w:cs="Arial"/>
          <w:spacing w:val="1"/>
        </w:rPr>
        <w:t>e</w:t>
      </w:r>
      <w:r w:rsidRPr="00224025">
        <w:rPr>
          <w:rFonts w:cs="Arial"/>
        </w:rPr>
        <w:t>tail Sales and U</w:t>
      </w:r>
      <w:r w:rsidRPr="00224025">
        <w:rPr>
          <w:rFonts w:cs="Arial"/>
          <w:spacing w:val="1"/>
        </w:rPr>
        <w:t>s</w:t>
      </w:r>
      <w:r w:rsidRPr="00224025">
        <w:rPr>
          <w:rFonts w:cs="Arial"/>
        </w:rPr>
        <w:t xml:space="preserve">e Tax for </w:t>
      </w:r>
      <w:r w:rsidRPr="00224025">
        <w:rPr>
          <w:rFonts w:cs="Arial"/>
          <w:spacing w:val="1"/>
        </w:rPr>
        <w:t>m</w:t>
      </w:r>
      <w:r w:rsidRPr="00224025">
        <w:rPr>
          <w:rFonts w:cs="Arial"/>
        </w:rPr>
        <w:t xml:space="preserve">edicines and drugs has been in existence </w:t>
      </w:r>
      <w:r w:rsidRPr="00224025">
        <w:rPr>
          <w:rFonts w:cs="Arial"/>
          <w:spacing w:val="1"/>
        </w:rPr>
        <w:t>s</w:t>
      </w:r>
      <w:r w:rsidRPr="00224025">
        <w:rPr>
          <w:rFonts w:cs="Arial"/>
          <w:spacing w:val="-1"/>
        </w:rPr>
        <w:t>i</w:t>
      </w:r>
      <w:r w:rsidRPr="00224025">
        <w:rPr>
          <w:rFonts w:cs="Arial"/>
        </w:rPr>
        <w:t>nce the inception of</w:t>
      </w:r>
      <w:r w:rsidRPr="00224025">
        <w:rPr>
          <w:rFonts w:cs="Arial"/>
          <w:spacing w:val="1"/>
        </w:rPr>
        <w:t xml:space="preserve"> </w:t>
      </w:r>
      <w:r w:rsidRPr="00224025">
        <w:rPr>
          <w:rFonts w:cs="Arial"/>
        </w:rPr>
        <w:t>the Retail Sales and Use T</w:t>
      </w:r>
      <w:r w:rsidRPr="00224025">
        <w:rPr>
          <w:rFonts w:cs="Arial"/>
          <w:spacing w:val="2"/>
        </w:rPr>
        <w:t>a</w:t>
      </w:r>
      <w:r w:rsidRPr="00224025">
        <w:rPr>
          <w:rFonts w:cs="Arial"/>
        </w:rPr>
        <w:t xml:space="preserve">x in 1966. </w:t>
      </w:r>
      <w:r w:rsidRPr="00224025">
        <w:rPr>
          <w:rFonts w:cs="Arial"/>
          <w:spacing w:val="13"/>
        </w:rPr>
        <w:t xml:space="preserve"> </w:t>
      </w:r>
      <w:r w:rsidRPr="00224025">
        <w:rPr>
          <w:rFonts w:cs="Arial"/>
        </w:rPr>
        <w:t>Exemptions for controlled drugs, hemodialy</w:t>
      </w:r>
      <w:r w:rsidRPr="00224025">
        <w:rPr>
          <w:rFonts w:cs="Arial"/>
          <w:spacing w:val="1"/>
        </w:rPr>
        <w:t>s</w:t>
      </w:r>
      <w:r w:rsidRPr="00224025">
        <w:rPr>
          <w:rFonts w:cs="Arial"/>
        </w:rPr>
        <w:t>is and peritoneal dial</w:t>
      </w:r>
      <w:r w:rsidRPr="00224025">
        <w:rPr>
          <w:rFonts w:cs="Arial"/>
          <w:spacing w:val="1"/>
        </w:rPr>
        <w:t>y</w:t>
      </w:r>
      <w:r w:rsidR="00E43997">
        <w:rPr>
          <w:rFonts w:cs="Arial"/>
        </w:rPr>
        <w:t xml:space="preserve">sis </w:t>
      </w:r>
      <w:r w:rsidRPr="00224025">
        <w:rPr>
          <w:rFonts w:cs="Arial"/>
        </w:rPr>
        <w:t>supplies  and  nonprescription drugs</w:t>
      </w:r>
      <w:r w:rsidRPr="00224025">
        <w:rPr>
          <w:rFonts w:cs="Arial"/>
          <w:spacing w:val="15"/>
        </w:rPr>
        <w:t xml:space="preserve"> </w:t>
      </w:r>
      <w:r w:rsidRPr="00224025">
        <w:rPr>
          <w:rFonts w:cs="Arial"/>
        </w:rPr>
        <w:t>were</w:t>
      </w:r>
      <w:r w:rsidRPr="00224025">
        <w:rPr>
          <w:rFonts w:cs="Arial"/>
          <w:spacing w:val="15"/>
        </w:rPr>
        <w:t xml:space="preserve"> </w:t>
      </w:r>
      <w:r w:rsidRPr="00224025">
        <w:rPr>
          <w:rFonts w:cs="Arial"/>
        </w:rPr>
        <w:t>later</w:t>
      </w:r>
      <w:r w:rsidRPr="00224025">
        <w:rPr>
          <w:rFonts w:cs="Arial"/>
          <w:spacing w:val="15"/>
        </w:rPr>
        <w:t xml:space="preserve"> </w:t>
      </w:r>
      <w:r w:rsidRPr="00224025">
        <w:rPr>
          <w:rFonts w:cs="Arial"/>
        </w:rPr>
        <w:t>enac</w:t>
      </w:r>
      <w:r w:rsidRPr="00224025">
        <w:rPr>
          <w:rFonts w:cs="Arial"/>
          <w:spacing w:val="2"/>
        </w:rPr>
        <w:t>t</w:t>
      </w:r>
      <w:r w:rsidRPr="00224025">
        <w:rPr>
          <w:rFonts w:cs="Arial"/>
        </w:rPr>
        <w:t xml:space="preserve">ed. </w:t>
      </w:r>
      <w:r w:rsidRPr="00224025">
        <w:rPr>
          <w:rFonts w:cs="Arial"/>
          <w:spacing w:val="30"/>
        </w:rPr>
        <w:t xml:space="preserve"> </w:t>
      </w:r>
      <w:r w:rsidRPr="00224025">
        <w:rPr>
          <w:rFonts w:cs="Arial"/>
        </w:rPr>
        <w:t>These</w:t>
      </w:r>
      <w:r w:rsidRPr="00224025">
        <w:rPr>
          <w:rFonts w:cs="Arial"/>
          <w:spacing w:val="15"/>
        </w:rPr>
        <w:t xml:space="preserve"> </w:t>
      </w:r>
      <w:r w:rsidRPr="00224025">
        <w:rPr>
          <w:rFonts w:cs="Arial"/>
        </w:rPr>
        <w:t>medical-related</w:t>
      </w:r>
      <w:r w:rsidRPr="00224025">
        <w:rPr>
          <w:rFonts w:cs="Arial"/>
          <w:spacing w:val="15"/>
        </w:rPr>
        <w:t xml:space="preserve"> </w:t>
      </w:r>
      <w:r w:rsidRPr="00224025">
        <w:rPr>
          <w:rFonts w:cs="Arial"/>
        </w:rPr>
        <w:t>exe</w:t>
      </w:r>
      <w:r w:rsidRPr="00224025">
        <w:rPr>
          <w:rFonts w:cs="Arial"/>
          <w:spacing w:val="2"/>
        </w:rPr>
        <w:t>m</w:t>
      </w:r>
      <w:r w:rsidRPr="00224025">
        <w:rPr>
          <w:rFonts w:cs="Arial"/>
        </w:rPr>
        <w:t>ptions</w:t>
      </w:r>
      <w:r w:rsidRPr="00224025">
        <w:rPr>
          <w:rFonts w:cs="Arial"/>
          <w:spacing w:val="15"/>
        </w:rPr>
        <w:t xml:space="preserve"> </w:t>
      </w:r>
      <w:r w:rsidRPr="00224025">
        <w:rPr>
          <w:rFonts w:cs="Arial"/>
        </w:rPr>
        <w:t>were</w:t>
      </w:r>
      <w:r w:rsidRPr="00224025">
        <w:rPr>
          <w:rFonts w:cs="Arial"/>
          <w:spacing w:val="15"/>
        </w:rPr>
        <w:t xml:space="preserve"> </w:t>
      </w:r>
      <w:r w:rsidRPr="00224025">
        <w:rPr>
          <w:rFonts w:cs="Arial"/>
        </w:rPr>
        <w:t>introduced</w:t>
      </w:r>
      <w:r w:rsidRPr="00224025">
        <w:rPr>
          <w:rFonts w:cs="Arial"/>
          <w:spacing w:val="15"/>
        </w:rPr>
        <w:t xml:space="preserve"> </w:t>
      </w:r>
      <w:r w:rsidRPr="00224025">
        <w:rPr>
          <w:rFonts w:cs="Arial"/>
        </w:rPr>
        <w:t>to</w:t>
      </w:r>
      <w:r w:rsidRPr="00224025">
        <w:rPr>
          <w:rFonts w:cs="Arial"/>
          <w:spacing w:val="32"/>
        </w:rPr>
        <w:t xml:space="preserve"> </w:t>
      </w:r>
      <w:r w:rsidRPr="00224025">
        <w:rPr>
          <w:rFonts w:cs="Arial"/>
        </w:rPr>
        <w:t>reduce</w:t>
      </w:r>
      <w:r w:rsidRPr="00224025">
        <w:rPr>
          <w:rFonts w:cs="Arial"/>
          <w:spacing w:val="32"/>
        </w:rPr>
        <w:t xml:space="preserve"> </w:t>
      </w:r>
      <w:r w:rsidRPr="00224025">
        <w:rPr>
          <w:rFonts w:cs="Arial"/>
          <w:spacing w:val="2"/>
        </w:rPr>
        <w:t>t</w:t>
      </w:r>
      <w:r w:rsidRPr="00224025">
        <w:rPr>
          <w:rFonts w:cs="Arial"/>
        </w:rPr>
        <w:t>he</w:t>
      </w:r>
      <w:r w:rsidRPr="00224025">
        <w:rPr>
          <w:rFonts w:cs="Arial"/>
          <w:spacing w:val="32"/>
        </w:rPr>
        <w:t xml:space="preserve"> </w:t>
      </w:r>
      <w:r w:rsidRPr="00224025">
        <w:rPr>
          <w:rFonts w:cs="Arial"/>
        </w:rPr>
        <w:t xml:space="preserve">cost of medical necessities. </w:t>
      </w:r>
      <w:r w:rsidRPr="00224025">
        <w:rPr>
          <w:rFonts w:cs="Arial"/>
          <w:spacing w:val="49"/>
        </w:rPr>
        <w:t xml:space="preserve"> </w:t>
      </w:r>
      <w:r w:rsidRPr="00224025">
        <w:rPr>
          <w:rFonts w:cs="Arial"/>
        </w:rPr>
        <w:t>In</w:t>
      </w:r>
      <w:r w:rsidRPr="00224025">
        <w:rPr>
          <w:rFonts w:cs="Arial"/>
          <w:spacing w:val="1"/>
        </w:rPr>
        <w:t xml:space="preserve"> </w:t>
      </w:r>
      <w:r w:rsidRPr="00224025">
        <w:rPr>
          <w:rFonts w:cs="Arial"/>
        </w:rPr>
        <w:t>addition,</w:t>
      </w:r>
      <w:r w:rsidRPr="00224025">
        <w:rPr>
          <w:rFonts w:cs="Arial"/>
          <w:spacing w:val="1"/>
        </w:rPr>
        <w:t xml:space="preserve"> </w:t>
      </w:r>
      <w:r w:rsidRPr="00224025">
        <w:rPr>
          <w:rFonts w:cs="Arial"/>
        </w:rPr>
        <w:t>the</w:t>
      </w:r>
      <w:r w:rsidRPr="00224025">
        <w:rPr>
          <w:rFonts w:cs="Arial"/>
          <w:spacing w:val="1"/>
        </w:rPr>
        <w:t xml:space="preserve"> </w:t>
      </w:r>
      <w:r w:rsidRPr="00224025">
        <w:rPr>
          <w:rFonts w:cs="Arial"/>
        </w:rPr>
        <w:t>nonprescription</w:t>
      </w:r>
      <w:r w:rsidRPr="00224025">
        <w:rPr>
          <w:rFonts w:cs="Arial"/>
          <w:spacing w:val="1"/>
        </w:rPr>
        <w:t xml:space="preserve"> </w:t>
      </w:r>
      <w:r w:rsidRPr="00224025">
        <w:rPr>
          <w:rFonts w:cs="Arial"/>
        </w:rPr>
        <w:t>drug exemption</w:t>
      </w:r>
      <w:r w:rsidRPr="00224025">
        <w:rPr>
          <w:rFonts w:cs="Arial"/>
          <w:spacing w:val="1"/>
        </w:rPr>
        <w:t xml:space="preserve"> </w:t>
      </w:r>
      <w:r w:rsidRPr="00224025">
        <w:rPr>
          <w:rFonts w:cs="Arial"/>
        </w:rPr>
        <w:t>was</w:t>
      </w:r>
      <w:r w:rsidRPr="00224025">
        <w:rPr>
          <w:rFonts w:cs="Arial"/>
          <w:spacing w:val="1"/>
        </w:rPr>
        <w:t xml:space="preserve"> </w:t>
      </w:r>
      <w:r w:rsidRPr="00224025">
        <w:rPr>
          <w:rFonts w:cs="Arial"/>
        </w:rPr>
        <w:t>enacted</w:t>
      </w:r>
      <w:r w:rsidRPr="00224025">
        <w:rPr>
          <w:rFonts w:cs="Arial"/>
          <w:spacing w:val="1"/>
        </w:rPr>
        <w:t xml:space="preserve"> </w:t>
      </w:r>
      <w:r w:rsidRPr="00224025">
        <w:rPr>
          <w:rFonts w:cs="Arial"/>
        </w:rPr>
        <w:t>partly</w:t>
      </w:r>
      <w:r w:rsidRPr="00224025">
        <w:rPr>
          <w:rFonts w:cs="Arial"/>
          <w:spacing w:val="1"/>
        </w:rPr>
        <w:t xml:space="preserve"> </w:t>
      </w:r>
      <w:r w:rsidRPr="00224025">
        <w:rPr>
          <w:rFonts w:cs="Arial"/>
        </w:rPr>
        <w:t>d</w:t>
      </w:r>
      <w:r w:rsidRPr="00224025">
        <w:rPr>
          <w:rFonts w:cs="Arial"/>
          <w:spacing w:val="2"/>
        </w:rPr>
        <w:t>u</w:t>
      </w:r>
      <w:r w:rsidRPr="00224025">
        <w:rPr>
          <w:rFonts w:cs="Arial"/>
        </w:rPr>
        <w:t>e to the change in classification</w:t>
      </w:r>
      <w:r w:rsidRPr="00224025">
        <w:rPr>
          <w:rFonts w:cs="Arial"/>
          <w:spacing w:val="1"/>
        </w:rPr>
        <w:t xml:space="preserve"> </w:t>
      </w:r>
      <w:r w:rsidRPr="00224025">
        <w:rPr>
          <w:rFonts w:cs="Arial"/>
        </w:rPr>
        <w:t>and</w:t>
      </w:r>
      <w:r w:rsidRPr="00224025">
        <w:rPr>
          <w:rFonts w:cs="Arial"/>
          <w:spacing w:val="1"/>
        </w:rPr>
        <w:t xml:space="preserve"> </w:t>
      </w:r>
      <w:r w:rsidRPr="00224025">
        <w:rPr>
          <w:rFonts w:cs="Arial"/>
        </w:rPr>
        <w:t>regulation</w:t>
      </w:r>
      <w:r w:rsidRPr="00224025">
        <w:rPr>
          <w:rFonts w:cs="Arial"/>
          <w:spacing w:val="1"/>
        </w:rPr>
        <w:t xml:space="preserve"> </w:t>
      </w:r>
      <w:r w:rsidRPr="00224025">
        <w:rPr>
          <w:rFonts w:cs="Arial"/>
        </w:rPr>
        <w:t>of</w:t>
      </w:r>
      <w:r w:rsidRPr="00224025">
        <w:rPr>
          <w:rFonts w:cs="Arial"/>
          <w:spacing w:val="1"/>
        </w:rPr>
        <w:t xml:space="preserve"> </w:t>
      </w:r>
      <w:r w:rsidRPr="00224025">
        <w:rPr>
          <w:rFonts w:cs="Arial"/>
        </w:rPr>
        <w:t>ma</w:t>
      </w:r>
      <w:r w:rsidRPr="00224025">
        <w:rPr>
          <w:rFonts w:cs="Arial"/>
          <w:spacing w:val="1"/>
        </w:rPr>
        <w:t>n</w:t>
      </w:r>
      <w:r w:rsidRPr="00224025">
        <w:rPr>
          <w:rFonts w:cs="Arial"/>
        </w:rPr>
        <w:t xml:space="preserve">y drugs, formerly classified as prescription drugs. </w:t>
      </w:r>
      <w:r w:rsidRPr="00224025">
        <w:rPr>
          <w:rFonts w:cs="Arial"/>
          <w:spacing w:val="13"/>
        </w:rPr>
        <w:t xml:space="preserve"> </w:t>
      </w:r>
      <w:r w:rsidRPr="00224025">
        <w:rPr>
          <w:rFonts w:cs="Arial"/>
        </w:rPr>
        <w:t xml:space="preserve">Such drugs no longer are covered </w:t>
      </w:r>
      <w:r w:rsidRPr="00224025">
        <w:rPr>
          <w:rFonts w:cs="Arial"/>
          <w:spacing w:val="1"/>
        </w:rPr>
        <w:t>b</w:t>
      </w:r>
      <w:r w:rsidRPr="00224025">
        <w:rPr>
          <w:rFonts w:cs="Arial"/>
        </w:rPr>
        <w:t>y or qualify for co-payments under numerous health insurance plans.</w:t>
      </w:r>
    </w:p>
    <w:p w:rsidR="00224025" w:rsidRPr="00224025" w:rsidRDefault="00224025" w:rsidP="00224025">
      <w:pPr>
        <w:widowControl w:val="0"/>
        <w:autoSpaceDE w:val="0"/>
        <w:autoSpaceDN w:val="0"/>
        <w:adjustRightInd w:val="0"/>
        <w:spacing w:after="0" w:line="240" w:lineRule="auto"/>
        <w:ind w:right="59"/>
        <w:jc w:val="both"/>
        <w:rPr>
          <w:rFonts w:cs="Arial"/>
          <w:color w:val="000000"/>
        </w:rPr>
      </w:pPr>
    </w:p>
    <w:p w:rsidR="000C2CBF" w:rsidRPr="00065BF6" w:rsidRDefault="00CC336E" w:rsidP="00CC336E">
      <w:pPr>
        <w:pBdr>
          <w:bottom w:val="single" w:sz="18" w:space="1" w:color="17365D" w:themeColor="text2" w:themeShade="BF"/>
        </w:pBdr>
        <w:jc w:val="right"/>
        <w:rPr>
          <w:color w:val="17365D" w:themeColor="text2" w:themeShade="BF"/>
          <w:sz w:val="36"/>
          <w:szCs w:val="36"/>
        </w:rPr>
      </w:pPr>
      <w:r w:rsidRPr="00065BF6">
        <w:rPr>
          <w:color w:val="17365D" w:themeColor="text2" w:themeShade="BF"/>
          <w:sz w:val="36"/>
          <w:szCs w:val="36"/>
        </w:rPr>
        <w:t>Legislative History</w:t>
      </w:r>
      <w:r w:rsidR="002B7DE4" w:rsidRPr="00065BF6">
        <w:rPr>
          <w:color w:val="17365D" w:themeColor="text2" w:themeShade="BF"/>
          <w:sz w:val="36"/>
          <w:szCs w:val="36"/>
        </w:rPr>
        <w:t xml:space="preserve"> &amp; Background</w:t>
      </w:r>
    </w:p>
    <w:p w:rsidR="00224025" w:rsidRDefault="00E31D41" w:rsidP="00E31D41">
      <w:r>
        <w:t xml:space="preserve"> </w:t>
      </w:r>
    </w:p>
    <w:p w:rsidR="00224025" w:rsidRPr="00E47003" w:rsidRDefault="00224025" w:rsidP="00224025">
      <w:pPr>
        <w:widowControl w:val="0"/>
        <w:autoSpaceDE w:val="0"/>
        <w:autoSpaceDN w:val="0"/>
        <w:adjustRightInd w:val="0"/>
        <w:spacing w:before="29"/>
        <w:ind w:right="58"/>
        <w:jc w:val="both"/>
        <w:rPr>
          <w:rFonts w:cs="Arial"/>
          <w:color w:val="000000"/>
        </w:rPr>
      </w:pPr>
      <w:r w:rsidRPr="00E47003">
        <w:t xml:space="preserve">The </w:t>
      </w:r>
      <w:r w:rsidRPr="00E47003">
        <w:rPr>
          <w:rFonts w:cs="Arial"/>
          <w:color w:val="000000"/>
        </w:rPr>
        <w:t>exemption</w:t>
      </w:r>
      <w:r w:rsidR="00E43997">
        <w:rPr>
          <w:rFonts w:cs="Arial"/>
          <w:color w:val="000000"/>
        </w:rPr>
        <w:t>s</w:t>
      </w:r>
      <w:r w:rsidRPr="00E47003">
        <w:rPr>
          <w:rFonts w:cs="Arial"/>
          <w:color w:val="000000"/>
        </w:rPr>
        <w:t xml:space="preserve"> for medicines and drugs a</w:t>
      </w:r>
      <w:r w:rsidRPr="00E47003">
        <w:rPr>
          <w:rFonts w:cs="Arial"/>
          <w:color w:val="000000"/>
          <w:spacing w:val="1"/>
        </w:rPr>
        <w:t>v</w:t>
      </w:r>
      <w:r w:rsidRPr="00E47003">
        <w:rPr>
          <w:rFonts w:cs="Arial"/>
          <w:color w:val="000000"/>
        </w:rPr>
        <w:t>ail</w:t>
      </w:r>
      <w:r w:rsidRPr="00E47003">
        <w:rPr>
          <w:rFonts w:cs="Arial"/>
          <w:color w:val="000000"/>
          <w:spacing w:val="2"/>
        </w:rPr>
        <w:t>a</w:t>
      </w:r>
      <w:r w:rsidRPr="00E47003">
        <w:rPr>
          <w:rFonts w:cs="Arial"/>
          <w:color w:val="000000"/>
        </w:rPr>
        <w:t>ble</w:t>
      </w:r>
      <w:r w:rsidRPr="00E47003">
        <w:rPr>
          <w:rFonts w:cs="Arial"/>
          <w:color w:val="000000"/>
          <w:spacing w:val="1"/>
        </w:rPr>
        <w:t xml:space="preserve"> to consumers </w:t>
      </w:r>
      <w:r w:rsidRPr="00E47003">
        <w:rPr>
          <w:rFonts w:cs="Arial"/>
          <w:color w:val="000000"/>
        </w:rPr>
        <w:t>pu</w:t>
      </w:r>
      <w:r w:rsidRPr="00E47003">
        <w:rPr>
          <w:rFonts w:cs="Arial"/>
          <w:color w:val="000000"/>
          <w:spacing w:val="2"/>
        </w:rPr>
        <w:t>r</w:t>
      </w:r>
      <w:r w:rsidRPr="00E47003">
        <w:rPr>
          <w:rFonts w:cs="Arial"/>
          <w:color w:val="000000"/>
        </w:rPr>
        <w:t>suant</w:t>
      </w:r>
      <w:r w:rsidRPr="00E47003">
        <w:rPr>
          <w:rFonts w:cs="Arial"/>
          <w:color w:val="000000"/>
          <w:spacing w:val="1"/>
        </w:rPr>
        <w:t xml:space="preserve"> </w:t>
      </w:r>
      <w:r w:rsidRPr="00E47003">
        <w:rPr>
          <w:rFonts w:cs="Arial"/>
          <w:color w:val="000000"/>
        </w:rPr>
        <w:t>to</w:t>
      </w:r>
      <w:r w:rsidRPr="00E47003">
        <w:rPr>
          <w:rFonts w:cs="Arial"/>
          <w:color w:val="000000"/>
          <w:spacing w:val="1"/>
        </w:rPr>
        <w:t xml:space="preserve"> </w:t>
      </w:r>
      <w:r w:rsidRPr="00E47003">
        <w:rPr>
          <w:rFonts w:cs="Arial"/>
          <w:color w:val="000000"/>
        </w:rPr>
        <w:t>w</w:t>
      </w:r>
      <w:r w:rsidRPr="00E47003">
        <w:rPr>
          <w:rFonts w:cs="Arial"/>
          <w:color w:val="000000"/>
          <w:spacing w:val="2"/>
        </w:rPr>
        <w:t>r</w:t>
      </w:r>
      <w:r w:rsidRPr="00E47003">
        <w:rPr>
          <w:rFonts w:cs="Arial"/>
          <w:color w:val="000000"/>
        </w:rPr>
        <w:t>itten</w:t>
      </w:r>
      <w:r w:rsidRPr="00E47003">
        <w:rPr>
          <w:rFonts w:cs="Arial"/>
          <w:color w:val="000000"/>
          <w:spacing w:val="1"/>
        </w:rPr>
        <w:t xml:space="preserve"> </w:t>
      </w:r>
      <w:r w:rsidRPr="00E47003">
        <w:rPr>
          <w:rFonts w:cs="Arial"/>
          <w:color w:val="000000"/>
        </w:rPr>
        <w:t>prescriptions</w:t>
      </w:r>
      <w:r w:rsidRPr="00E47003">
        <w:rPr>
          <w:rFonts w:cs="Arial"/>
          <w:color w:val="000000"/>
          <w:spacing w:val="1"/>
        </w:rPr>
        <w:t xml:space="preserve"> </w:t>
      </w:r>
      <w:r w:rsidRPr="00E47003">
        <w:rPr>
          <w:rFonts w:cs="Arial"/>
          <w:color w:val="000000"/>
        </w:rPr>
        <w:t>has been</w:t>
      </w:r>
      <w:r w:rsidRPr="00E47003">
        <w:rPr>
          <w:rFonts w:cs="Arial"/>
          <w:color w:val="000000"/>
          <w:spacing w:val="46"/>
        </w:rPr>
        <w:t xml:space="preserve"> </w:t>
      </w:r>
      <w:r w:rsidRPr="00E47003">
        <w:rPr>
          <w:rFonts w:cs="Arial"/>
          <w:color w:val="000000"/>
        </w:rPr>
        <w:t>in</w:t>
      </w:r>
      <w:r w:rsidRPr="00E47003">
        <w:rPr>
          <w:rFonts w:cs="Arial"/>
          <w:color w:val="000000"/>
          <w:spacing w:val="46"/>
        </w:rPr>
        <w:t xml:space="preserve"> </w:t>
      </w:r>
      <w:r w:rsidRPr="00E47003">
        <w:rPr>
          <w:rFonts w:cs="Arial"/>
          <w:color w:val="000000"/>
        </w:rPr>
        <w:t>existence</w:t>
      </w:r>
      <w:r w:rsidRPr="00E47003">
        <w:rPr>
          <w:rFonts w:cs="Arial"/>
          <w:color w:val="000000"/>
          <w:spacing w:val="46"/>
        </w:rPr>
        <w:t xml:space="preserve"> </w:t>
      </w:r>
      <w:r w:rsidRPr="00E47003">
        <w:rPr>
          <w:rFonts w:cs="Arial"/>
          <w:color w:val="000000"/>
        </w:rPr>
        <w:t>since</w:t>
      </w:r>
      <w:r w:rsidRPr="00E47003">
        <w:rPr>
          <w:rFonts w:cs="Arial"/>
          <w:color w:val="000000"/>
          <w:spacing w:val="46"/>
        </w:rPr>
        <w:t xml:space="preserve"> </w:t>
      </w:r>
      <w:r w:rsidRPr="00E47003">
        <w:rPr>
          <w:rFonts w:cs="Arial"/>
          <w:color w:val="000000"/>
        </w:rPr>
        <w:t>the</w:t>
      </w:r>
      <w:r w:rsidRPr="00E47003">
        <w:rPr>
          <w:rFonts w:cs="Arial"/>
          <w:color w:val="000000"/>
          <w:spacing w:val="46"/>
        </w:rPr>
        <w:t xml:space="preserve"> </w:t>
      </w:r>
      <w:r w:rsidRPr="00E47003">
        <w:rPr>
          <w:rFonts w:cs="Arial"/>
          <w:color w:val="000000"/>
        </w:rPr>
        <w:t>in</w:t>
      </w:r>
      <w:r w:rsidRPr="00E47003">
        <w:rPr>
          <w:rFonts w:cs="Arial"/>
          <w:color w:val="000000"/>
          <w:spacing w:val="1"/>
        </w:rPr>
        <w:t>c</w:t>
      </w:r>
      <w:r w:rsidRPr="00E47003">
        <w:rPr>
          <w:rFonts w:cs="Arial"/>
          <w:color w:val="000000"/>
        </w:rPr>
        <w:t>eption</w:t>
      </w:r>
      <w:r w:rsidRPr="00E47003">
        <w:rPr>
          <w:rFonts w:cs="Arial"/>
          <w:color w:val="000000"/>
          <w:spacing w:val="46"/>
        </w:rPr>
        <w:t xml:space="preserve"> </w:t>
      </w:r>
      <w:r w:rsidRPr="00E47003">
        <w:rPr>
          <w:rFonts w:cs="Arial"/>
          <w:color w:val="000000"/>
        </w:rPr>
        <w:t>of</w:t>
      </w:r>
      <w:r w:rsidRPr="00E47003">
        <w:rPr>
          <w:rFonts w:cs="Arial"/>
          <w:color w:val="000000"/>
          <w:spacing w:val="46"/>
        </w:rPr>
        <w:t xml:space="preserve"> </w:t>
      </w:r>
      <w:r w:rsidRPr="00E47003">
        <w:rPr>
          <w:rFonts w:cs="Arial"/>
          <w:color w:val="000000"/>
          <w:spacing w:val="3"/>
        </w:rPr>
        <w:t>t</w:t>
      </w:r>
      <w:r w:rsidRPr="00E47003">
        <w:rPr>
          <w:rFonts w:cs="Arial"/>
          <w:color w:val="000000"/>
        </w:rPr>
        <w:t>he</w:t>
      </w:r>
      <w:r w:rsidRPr="00E47003">
        <w:rPr>
          <w:rFonts w:cs="Arial"/>
          <w:color w:val="000000"/>
          <w:spacing w:val="47"/>
        </w:rPr>
        <w:t xml:space="preserve"> </w:t>
      </w:r>
      <w:r w:rsidRPr="00E47003">
        <w:rPr>
          <w:rFonts w:cs="Arial"/>
          <w:color w:val="000000"/>
        </w:rPr>
        <w:t>Retail</w:t>
      </w:r>
      <w:r w:rsidRPr="00E47003">
        <w:rPr>
          <w:rFonts w:cs="Arial"/>
          <w:color w:val="000000"/>
          <w:spacing w:val="47"/>
        </w:rPr>
        <w:t xml:space="preserve"> </w:t>
      </w:r>
      <w:r w:rsidRPr="00E47003">
        <w:rPr>
          <w:rFonts w:cs="Arial"/>
          <w:color w:val="000000"/>
        </w:rPr>
        <w:t>Sales</w:t>
      </w:r>
      <w:r w:rsidRPr="00E47003">
        <w:rPr>
          <w:rFonts w:cs="Arial"/>
          <w:color w:val="000000"/>
          <w:spacing w:val="47"/>
        </w:rPr>
        <w:t xml:space="preserve"> </w:t>
      </w:r>
      <w:r w:rsidRPr="00E47003">
        <w:rPr>
          <w:rFonts w:cs="Arial"/>
          <w:color w:val="000000"/>
        </w:rPr>
        <w:t>and</w:t>
      </w:r>
      <w:r w:rsidRPr="00E47003">
        <w:rPr>
          <w:rFonts w:cs="Arial"/>
          <w:color w:val="000000"/>
          <w:spacing w:val="47"/>
        </w:rPr>
        <w:t xml:space="preserve"> </w:t>
      </w:r>
      <w:r w:rsidRPr="00E47003">
        <w:rPr>
          <w:rFonts w:cs="Arial"/>
          <w:color w:val="000000"/>
        </w:rPr>
        <w:t>Use</w:t>
      </w:r>
      <w:r w:rsidRPr="00E47003">
        <w:rPr>
          <w:rFonts w:cs="Arial"/>
          <w:color w:val="000000"/>
          <w:spacing w:val="47"/>
        </w:rPr>
        <w:t xml:space="preserve"> </w:t>
      </w:r>
      <w:r w:rsidRPr="00E47003">
        <w:rPr>
          <w:rFonts w:cs="Arial"/>
          <w:color w:val="000000"/>
        </w:rPr>
        <w:t>Tax</w:t>
      </w:r>
      <w:r w:rsidRPr="00E47003">
        <w:rPr>
          <w:rFonts w:cs="Arial"/>
          <w:color w:val="000000"/>
          <w:spacing w:val="47"/>
        </w:rPr>
        <w:t xml:space="preserve"> </w:t>
      </w:r>
      <w:r w:rsidRPr="00E47003">
        <w:rPr>
          <w:rFonts w:cs="Arial"/>
          <w:color w:val="000000"/>
        </w:rPr>
        <w:t>in</w:t>
      </w:r>
      <w:r w:rsidRPr="00E47003">
        <w:rPr>
          <w:rFonts w:cs="Arial"/>
          <w:color w:val="000000"/>
          <w:spacing w:val="47"/>
        </w:rPr>
        <w:t xml:space="preserve"> </w:t>
      </w:r>
      <w:r w:rsidRPr="00E47003">
        <w:rPr>
          <w:rFonts w:cs="Arial"/>
          <w:color w:val="000000"/>
        </w:rPr>
        <w:t xml:space="preserve">1966.  </w:t>
      </w:r>
      <w:r w:rsidRPr="00E47003">
        <w:rPr>
          <w:rFonts w:cs="Arial"/>
          <w:color w:val="000000"/>
          <w:spacing w:val="26"/>
        </w:rPr>
        <w:t xml:space="preserve"> </w:t>
      </w:r>
      <w:r w:rsidRPr="00E47003">
        <w:rPr>
          <w:rFonts w:cs="Arial"/>
          <w:color w:val="000000"/>
          <w:spacing w:val="2"/>
        </w:rPr>
        <w:t>I</w:t>
      </w:r>
      <w:r w:rsidRPr="00E47003">
        <w:rPr>
          <w:rFonts w:cs="Arial"/>
          <w:color w:val="000000"/>
        </w:rPr>
        <w:t>n addition</w:t>
      </w:r>
      <w:r w:rsidRPr="00E47003">
        <w:rPr>
          <w:rFonts w:cs="Arial"/>
          <w:color w:val="000000"/>
          <w:spacing w:val="33"/>
        </w:rPr>
        <w:t xml:space="preserve"> </w:t>
      </w:r>
      <w:r w:rsidRPr="00E47003">
        <w:rPr>
          <w:rFonts w:cs="Arial"/>
          <w:color w:val="000000"/>
        </w:rPr>
        <w:t>to</w:t>
      </w:r>
      <w:r w:rsidRPr="00E47003">
        <w:rPr>
          <w:rFonts w:cs="Arial"/>
          <w:color w:val="000000"/>
          <w:spacing w:val="33"/>
        </w:rPr>
        <w:t xml:space="preserve"> </w:t>
      </w:r>
      <w:r w:rsidRPr="00E47003">
        <w:rPr>
          <w:rFonts w:cs="Arial"/>
          <w:color w:val="000000"/>
        </w:rPr>
        <w:t>exempting</w:t>
      </w:r>
      <w:r w:rsidRPr="00E47003">
        <w:rPr>
          <w:rFonts w:cs="Arial"/>
          <w:color w:val="000000"/>
          <w:spacing w:val="33"/>
        </w:rPr>
        <w:t xml:space="preserve"> </w:t>
      </w:r>
      <w:r w:rsidRPr="00E47003">
        <w:rPr>
          <w:rFonts w:cs="Arial"/>
          <w:color w:val="000000"/>
        </w:rPr>
        <w:t>medicines</w:t>
      </w:r>
      <w:r w:rsidRPr="00E47003">
        <w:rPr>
          <w:rFonts w:cs="Arial"/>
          <w:color w:val="000000"/>
          <w:spacing w:val="34"/>
        </w:rPr>
        <w:t xml:space="preserve"> </w:t>
      </w:r>
      <w:r w:rsidRPr="00E47003">
        <w:rPr>
          <w:rFonts w:cs="Arial"/>
          <w:color w:val="000000"/>
        </w:rPr>
        <w:t>and</w:t>
      </w:r>
      <w:r w:rsidRPr="00E47003">
        <w:rPr>
          <w:rFonts w:cs="Arial"/>
          <w:color w:val="000000"/>
          <w:spacing w:val="33"/>
        </w:rPr>
        <w:t xml:space="preserve"> </w:t>
      </w:r>
      <w:r w:rsidRPr="00E47003">
        <w:rPr>
          <w:rFonts w:cs="Arial"/>
          <w:color w:val="000000"/>
        </w:rPr>
        <w:t>drug</w:t>
      </w:r>
      <w:r w:rsidRPr="00E47003">
        <w:rPr>
          <w:rFonts w:cs="Arial"/>
          <w:color w:val="000000"/>
          <w:spacing w:val="1"/>
        </w:rPr>
        <w:t>s</w:t>
      </w:r>
      <w:r w:rsidRPr="00E47003">
        <w:rPr>
          <w:rFonts w:cs="Arial"/>
          <w:color w:val="000000"/>
        </w:rPr>
        <w:t>,</w:t>
      </w:r>
      <w:r w:rsidRPr="00E47003">
        <w:rPr>
          <w:rFonts w:cs="Arial"/>
          <w:color w:val="000000"/>
          <w:spacing w:val="33"/>
        </w:rPr>
        <w:t xml:space="preserve"> </w:t>
      </w:r>
      <w:r w:rsidRPr="00E47003">
        <w:rPr>
          <w:rFonts w:cs="Arial"/>
          <w:color w:val="000000"/>
        </w:rPr>
        <w:t>the</w:t>
      </w:r>
      <w:r w:rsidRPr="00E47003">
        <w:rPr>
          <w:rFonts w:cs="Arial"/>
          <w:color w:val="000000"/>
          <w:spacing w:val="33"/>
        </w:rPr>
        <w:t xml:space="preserve"> </w:t>
      </w:r>
      <w:r w:rsidRPr="00E47003">
        <w:rPr>
          <w:rFonts w:cs="Arial"/>
          <w:color w:val="000000"/>
        </w:rPr>
        <w:t>original</w:t>
      </w:r>
      <w:r w:rsidRPr="00E47003">
        <w:rPr>
          <w:rFonts w:cs="Arial"/>
          <w:color w:val="000000"/>
          <w:spacing w:val="33"/>
        </w:rPr>
        <w:t xml:space="preserve"> </w:t>
      </w:r>
      <w:r w:rsidRPr="00E47003">
        <w:rPr>
          <w:rFonts w:cs="Arial"/>
          <w:color w:val="000000"/>
        </w:rPr>
        <w:t>exemption</w:t>
      </w:r>
      <w:r w:rsidRPr="00E47003">
        <w:rPr>
          <w:rFonts w:cs="Arial"/>
          <w:color w:val="000000"/>
          <w:spacing w:val="33"/>
        </w:rPr>
        <w:t xml:space="preserve"> </w:t>
      </w:r>
      <w:r w:rsidRPr="00E47003">
        <w:rPr>
          <w:rFonts w:cs="Arial"/>
          <w:color w:val="000000"/>
        </w:rPr>
        <w:t>applied</w:t>
      </w:r>
      <w:r w:rsidRPr="00E47003">
        <w:rPr>
          <w:rFonts w:cs="Arial"/>
          <w:color w:val="000000"/>
          <w:spacing w:val="33"/>
        </w:rPr>
        <w:t xml:space="preserve"> </w:t>
      </w:r>
      <w:r w:rsidRPr="00E47003">
        <w:rPr>
          <w:rFonts w:cs="Arial"/>
          <w:color w:val="000000"/>
        </w:rPr>
        <w:t>to</w:t>
      </w:r>
      <w:r w:rsidRPr="00E47003">
        <w:rPr>
          <w:rFonts w:cs="Arial"/>
          <w:color w:val="000000"/>
          <w:spacing w:val="33"/>
        </w:rPr>
        <w:t xml:space="preserve"> </w:t>
      </w:r>
      <w:r w:rsidRPr="00E47003">
        <w:rPr>
          <w:rFonts w:cs="Arial"/>
          <w:color w:val="000000"/>
        </w:rPr>
        <w:t>various items, such as prosthetic de</w:t>
      </w:r>
      <w:r w:rsidRPr="00E47003">
        <w:rPr>
          <w:rFonts w:cs="Arial"/>
          <w:color w:val="000000"/>
          <w:spacing w:val="1"/>
        </w:rPr>
        <w:t>v</w:t>
      </w:r>
      <w:r w:rsidRPr="00E47003">
        <w:rPr>
          <w:rFonts w:cs="Arial"/>
          <w:color w:val="000000"/>
        </w:rPr>
        <w:t>ices</w:t>
      </w:r>
      <w:r w:rsidRPr="00E47003">
        <w:rPr>
          <w:rFonts w:cs="Arial"/>
          <w:color w:val="000000"/>
          <w:spacing w:val="2"/>
        </w:rPr>
        <w:t xml:space="preserve"> </w:t>
      </w:r>
      <w:r w:rsidRPr="00E47003">
        <w:rPr>
          <w:rFonts w:cs="Arial"/>
          <w:color w:val="000000"/>
        </w:rPr>
        <w:t>and eyeglasses. Several</w:t>
      </w:r>
      <w:r w:rsidRPr="00E47003">
        <w:rPr>
          <w:rFonts w:cs="Arial"/>
          <w:color w:val="000000"/>
          <w:spacing w:val="28"/>
        </w:rPr>
        <w:t xml:space="preserve"> </w:t>
      </w:r>
      <w:r w:rsidRPr="00E47003">
        <w:rPr>
          <w:rFonts w:cs="Arial"/>
          <w:color w:val="000000"/>
        </w:rPr>
        <w:t>times</w:t>
      </w:r>
      <w:r w:rsidRPr="00E47003">
        <w:rPr>
          <w:rFonts w:cs="Arial"/>
          <w:color w:val="000000"/>
          <w:spacing w:val="28"/>
        </w:rPr>
        <w:t xml:space="preserve"> </w:t>
      </w:r>
      <w:r w:rsidRPr="00E47003">
        <w:rPr>
          <w:rFonts w:cs="Arial"/>
          <w:color w:val="000000"/>
        </w:rPr>
        <w:t>between</w:t>
      </w:r>
      <w:r w:rsidRPr="00E47003">
        <w:rPr>
          <w:rFonts w:cs="Arial"/>
          <w:color w:val="000000"/>
          <w:spacing w:val="28"/>
        </w:rPr>
        <w:t xml:space="preserve"> </w:t>
      </w:r>
      <w:r w:rsidRPr="00E47003">
        <w:rPr>
          <w:rFonts w:cs="Arial"/>
          <w:color w:val="000000"/>
        </w:rPr>
        <w:t>1973</w:t>
      </w:r>
      <w:r w:rsidRPr="00E47003">
        <w:rPr>
          <w:rFonts w:cs="Arial"/>
          <w:color w:val="000000"/>
          <w:spacing w:val="29"/>
        </w:rPr>
        <w:t xml:space="preserve"> </w:t>
      </w:r>
      <w:r w:rsidRPr="00E47003">
        <w:rPr>
          <w:rFonts w:cs="Arial"/>
          <w:color w:val="000000"/>
        </w:rPr>
        <w:t>and</w:t>
      </w:r>
      <w:r w:rsidRPr="00E47003">
        <w:rPr>
          <w:rFonts w:cs="Arial"/>
          <w:color w:val="000000"/>
          <w:spacing w:val="28"/>
        </w:rPr>
        <w:t xml:space="preserve"> </w:t>
      </w:r>
      <w:r w:rsidRPr="00E47003">
        <w:rPr>
          <w:rFonts w:cs="Arial"/>
          <w:color w:val="000000"/>
        </w:rPr>
        <w:t>200</w:t>
      </w:r>
      <w:r w:rsidR="00E43997">
        <w:rPr>
          <w:rFonts w:cs="Arial"/>
          <w:color w:val="000000"/>
        </w:rPr>
        <w:t>6</w:t>
      </w:r>
      <w:r w:rsidRPr="00E47003">
        <w:rPr>
          <w:rFonts w:cs="Arial"/>
          <w:color w:val="000000"/>
        </w:rPr>
        <w:t>,</w:t>
      </w:r>
      <w:r w:rsidRPr="00E47003">
        <w:rPr>
          <w:rFonts w:cs="Arial"/>
          <w:color w:val="000000"/>
          <w:spacing w:val="28"/>
        </w:rPr>
        <w:t xml:space="preserve"> </w:t>
      </w:r>
      <w:r w:rsidRPr="00E47003">
        <w:rPr>
          <w:rFonts w:cs="Arial"/>
          <w:color w:val="000000"/>
        </w:rPr>
        <w:t>the</w:t>
      </w:r>
      <w:r w:rsidRPr="00E47003">
        <w:rPr>
          <w:rFonts w:cs="Arial"/>
          <w:color w:val="000000"/>
          <w:spacing w:val="28"/>
        </w:rPr>
        <w:t xml:space="preserve"> </w:t>
      </w:r>
      <w:r w:rsidRPr="00E47003">
        <w:rPr>
          <w:rFonts w:cs="Arial"/>
          <w:color w:val="000000"/>
        </w:rPr>
        <w:t>exemp</w:t>
      </w:r>
      <w:r w:rsidRPr="00E47003">
        <w:rPr>
          <w:rFonts w:cs="Arial"/>
          <w:color w:val="000000"/>
          <w:spacing w:val="2"/>
        </w:rPr>
        <w:t>t</w:t>
      </w:r>
      <w:r w:rsidRPr="00E47003">
        <w:rPr>
          <w:rFonts w:cs="Arial"/>
          <w:color w:val="000000"/>
        </w:rPr>
        <w:t>ion</w:t>
      </w:r>
      <w:r w:rsidRPr="00E47003">
        <w:rPr>
          <w:rFonts w:cs="Arial"/>
          <w:color w:val="000000"/>
          <w:spacing w:val="29"/>
        </w:rPr>
        <w:t xml:space="preserve"> </w:t>
      </w:r>
      <w:r w:rsidRPr="00E47003">
        <w:rPr>
          <w:rFonts w:cs="Arial"/>
          <w:color w:val="000000"/>
        </w:rPr>
        <w:t>was</w:t>
      </w:r>
      <w:r w:rsidRPr="00E47003">
        <w:rPr>
          <w:rFonts w:cs="Arial"/>
          <w:color w:val="000000"/>
          <w:spacing w:val="29"/>
        </w:rPr>
        <w:t xml:space="preserve"> </w:t>
      </w:r>
      <w:r w:rsidRPr="00E47003">
        <w:rPr>
          <w:rFonts w:cs="Arial"/>
          <w:color w:val="000000"/>
        </w:rPr>
        <w:t>revised</w:t>
      </w:r>
      <w:r w:rsidRPr="00E47003">
        <w:rPr>
          <w:rFonts w:cs="Arial"/>
          <w:color w:val="000000"/>
          <w:spacing w:val="29"/>
        </w:rPr>
        <w:t xml:space="preserve"> </w:t>
      </w:r>
      <w:r w:rsidRPr="00E47003">
        <w:rPr>
          <w:rFonts w:cs="Arial"/>
          <w:color w:val="000000"/>
        </w:rPr>
        <w:t>to clarify the category of individuals</w:t>
      </w:r>
      <w:r w:rsidRPr="00E47003">
        <w:rPr>
          <w:rFonts w:cs="Arial"/>
          <w:color w:val="000000"/>
          <w:spacing w:val="2"/>
        </w:rPr>
        <w:t xml:space="preserve"> </w:t>
      </w:r>
      <w:r w:rsidRPr="00E47003">
        <w:rPr>
          <w:rFonts w:cs="Arial"/>
          <w:color w:val="000000"/>
        </w:rPr>
        <w:t>from</w:t>
      </w:r>
      <w:r w:rsidRPr="00E47003">
        <w:rPr>
          <w:rFonts w:cs="Arial"/>
          <w:color w:val="000000"/>
          <w:spacing w:val="1"/>
        </w:rPr>
        <w:t xml:space="preserve"> </w:t>
      </w:r>
      <w:r w:rsidRPr="00E47003">
        <w:rPr>
          <w:rFonts w:cs="Arial"/>
          <w:color w:val="000000"/>
        </w:rPr>
        <w:t>whom</w:t>
      </w:r>
      <w:r w:rsidRPr="00E47003">
        <w:rPr>
          <w:rFonts w:cs="Arial"/>
          <w:color w:val="000000"/>
          <w:spacing w:val="1"/>
        </w:rPr>
        <w:t xml:space="preserve"> </w:t>
      </w:r>
      <w:r w:rsidRPr="00E47003">
        <w:rPr>
          <w:rFonts w:cs="Arial"/>
          <w:color w:val="000000"/>
        </w:rPr>
        <w:t>exempt</w:t>
      </w:r>
      <w:r w:rsidRPr="00E47003">
        <w:rPr>
          <w:rFonts w:cs="Arial"/>
          <w:color w:val="000000"/>
          <w:spacing w:val="1"/>
        </w:rPr>
        <w:t xml:space="preserve"> </w:t>
      </w:r>
      <w:r w:rsidRPr="00E47003">
        <w:rPr>
          <w:rFonts w:cs="Arial"/>
          <w:color w:val="000000"/>
        </w:rPr>
        <w:t>i</w:t>
      </w:r>
      <w:r w:rsidRPr="00E47003">
        <w:rPr>
          <w:rFonts w:cs="Arial"/>
          <w:color w:val="000000"/>
          <w:spacing w:val="1"/>
        </w:rPr>
        <w:t>t</w:t>
      </w:r>
      <w:r w:rsidRPr="00E47003">
        <w:rPr>
          <w:rFonts w:cs="Arial"/>
          <w:color w:val="000000"/>
        </w:rPr>
        <w:t>ems</w:t>
      </w:r>
      <w:r w:rsidRPr="00E47003">
        <w:rPr>
          <w:rFonts w:cs="Arial"/>
          <w:color w:val="000000"/>
          <w:spacing w:val="1"/>
        </w:rPr>
        <w:t xml:space="preserve"> </w:t>
      </w:r>
      <w:r w:rsidRPr="00E47003">
        <w:rPr>
          <w:rFonts w:cs="Arial"/>
          <w:color w:val="000000"/>
        </w:rPr>
        <w:t>could</w:t>
      </w:r>
      <w:r w:rsidRPr="00E47003">
        <w:rPr>
          <w:rFonts w:cs="Arial"/>
          <w:color w:val="000000"/>
          <w:spacing w:val="1"/>
        </w:rPr>
        <w:t xml:space="preserve"> </w:t>
      </w:r>
      <w:r w:rsidRPr="00E47003">
        <w:rPr>
          <w:rFonts w:cs="Arial"/>
          <w:color w:val="000000"/>
        </w:rPr>
        <w:t>be</w:t>
      </w:r>
      <w:r w:rsidRPr="00E47003">
        <w:rPr>
          <w:rFonts w:cs="Arial"/>
          <w:color w:val="000000"/>
          <w:spacing w:val="1"/>
        </w:rPr>
        <w:t xml:space="preserve"> </w:t>
      </w:r>
      <w:r w:rsidRPr="00E47003">
        <w:rPr>
          <w:rFonts w:cs="Arial"/>
          <w:color w:val="000000"/>
        </w:rPr>
        <w:t>purchased</w:t>
      </w:r>
      <w:r w:rsidRPr="00E47003">
        <w:rPr>
          <w:rFonts w:cs="Arial"/>
          <w:color w:val="000000"/>
          <w:spacing w:val="1"/>
        </w:rPr>
        <w:t xml:space="preserve"> </w:t>
      </w:r>
      <w:r w:rsidRPr="00E47003">
        <w:rPr>
          <w:rFonts w:cs="Arial"/>
          <w:color w:val="000000"/>
        </w:rPr>
        <w:t>and</w:t>
      </w:r>
      <w:r w:rsidRPr="00E47003">
        <w:rPr>
          <w:rFonts w:cs="Arial"/>
          <w:color w:val="000000"/>
          <w:spacing w:val="1"/>
        </w:rPr>
        <w:t xml:space="preserve"> </w:t>
      </w:r>
      <w:r w:rsidRPr="00E47003">
        <w:rPr>
          <w:rFonts w:cs="Arial"/>
          <w:color w:val="000000"/>
        </w:rPr>
        <w:t>to add items, such as e</w:t>
      </w:r>
      <w:r w:rsidRPr="00E47003">
        <w:rPr>
          <w:rFonts w:cs="Arial"/>
          <w:color w:val="000000"/>
          <w:spacing w:val="1"/>
        </w:rPr>
        <w:t>y</w:t>
      </w:r>
      <w:r w:rsidRPr="00E47003">
        <w:rPr>
          <w:rFonts w:cs="Arial"/>
          <w:color w:val="000000"/>
        </w:rPr>
        <w:t>eglass ca</w:t>
      </w:r>
      <w:r w:rsidRPr="00E47003">
        <w:rPr>
          <w:rFonts w:cs="Arial"/>
          <w:color w:val="000000"/>
          <w:spacing w:val="1"/>
        </w:rPr>
        <w:t>s</w:t>
      </w:r>
      <w:r w:rsidRPr="00E47003">
        <w:rPr>
          <w:rFonts w:cs="Arial"/>
          <w:color w:val="000000"/>
        </w:rPr>
        <w:t>es and conta</w:t>
      </w:r>
      <w:r w:rsidRPr="00E47003">
        <w:rPr>
          <w:rFonts w:cs="Arial"/>
          <w:color w:val="000000"/>
          <w:spacing w:val="1"/>
        </w:rPr>
        <w:t>c</w:t>
      </w:r>
      <w:r w:rsidRPr="00E47003">
        <w:rPr>
          <w:rFonts w:cs="Arial"/>
          <w:color w:val="000000"/>
        </w:rPr>
        <w:t>t lenses, to which the exemption would apply. Nonprescription</w:t>
      </w:r>
      <w:r w:rsidRPr="00E47003">
        <w:rPr>
          <w:rFonts w:cs="Arial"/>
          <w:color w:val="000000"/>
          <w:spacing w:val="44"/>
        </w:rPr>
        <w:t xml:space="preserve"> </w:t>
      </w:r>
      <w:r w:rsidRPr="00E47003">
        <w:rPr>
          <w:rFonts w:cs="Arial"/>
          <w:color w:val="000000"/>
        </w:rPr>
        <w:t>drugs</w:t>
      </w:r>
      <w:r w:rsidRPr="00E47003">
        <w:rPr>
          <w:rFonts w:cs="Arial"/>
          <w:color w:val="000000"/>
          <w:spacing w:val="44"/>
        </w:rPr>
        <w:t xml:space="preserve"> </w:t>
      </w:r>
      <w:r w:rsidRPr="00E47003">
        <w:rPr>
          <w:rFonts w:cs="Arial"/>
          <w:color w:val="000000"/>
        </w:rPr>
        <w:t>became</w:t>
      </w:r>
      <w:r w:rsidRPr="00E47003">
        <w:rPr>
          <w:rFonts w:cs="Arial"/>
          <w:color w:val="000000"/>
          <w:spacing w:val="44"/>
        </w:rPr>
        <w:t xml:space="preserve"> </w:t>
      </w:r>
      <w:r w:rsidRPr="00E47003">
        <w:rPr>
          <w:rFonts w:cs="Arial"/>
          <w:color w:val="000000"/>
        </w:rPr>
        <w:t>e</w:t>
      </w:r>
      <w:r w:rsidRPr="00E47003">
        <w:rPr>
          <w:rFonts w:cs="Arial"/>
          <w:color w:val="000000"/>
          <w:spacing w:val="-1"/>
        </w:rPr>
        <w:t>x</w:t>
      </w:r>
      <w:r w:rsidRPr="00E47003">
        <w:rPr>
          <w:rFonts w:cs="Arial"/>
          <w:color w:val="000000"/>
          <w:spacing w:val="1"/>
        </w:rPr>
        <w:t>e</w:t>
      </w:r>
      <w:r w:rsidRPr="00E47003">
        <w:rPr>
          <w:rFonts w:cs="Arial"/>
          <w:color w:val="000000"/>
        </w:rPr>
        <w:t xml:space="preserve">mpt in 1998. </w:t>
      </w:r>
    </w:p>
    <w:p w:rsidR="005B509A" w:rsidRPr="00E47003" w:rsidRDefault="005B509A" w:rsidP="00065BF6">
      <w:pPr>
        <w:widowControl w:val="0"/>
        <w:autoSpaceDE w:val="0"/>
        <w:autoSpaceDN w:val="0"/>
        <w:adjustRightInd w:val="0"/>
        <w:spacing w:after="0"/>
        <w:jc w:val="both"/>
        <w:rPr>
          <w:rFonts w:cs="Arial"/>
        </w:rPr>
      </w:pPr>
      <w:r w:rsidRPr="00065BF6">
        <w:rPr>
          <w:rFonts w:cs="Arial"/>
          <w:u w:val="single"/>
        </w:rPr>
        <w:t>1966</w:t>
      </w:r>
      <w:r w:rsidR="00065BF6" w:rsidRPr="00065BF6">
        <w:rPr>
          <w:rFonts w:cs="Arial"/>
          <w:spacing w:val="23"/>
          <w:u w:val="single"/>
        </w:rPr>
        <w:t>:</w:t>
      </w:r>
      <w:r w:rsidR="00065BF6">
        <w:rPr>
          <w:rFonts w:cs="Arial"/>
          <w:spacing w:val="23"/>
        </w:rPr>
        <w:t xml:space="preserve"> </w:t>
      </w:r>
      <w:r w:rsidRPr="00E47003">
        <w:rPr>
          <w:rFonts w:cs="Arial"/>
        </w:rPr>
        <w:t>The</w:t>
      </w:r>
      <w:r w:rsidRPr="00E47003">
        <w:rPr>
          <w:rFonts w:cs="Arial"/>
          <w:spacing w:val="23"/>
        </w:rPr>
        <w:t xml:space="preserve"> </w:t>
      </w:r>
      <w:r w:rsidRPr="00E47003">
        <w:rPr>
          <w:rFonts w:cs="Arial"/>
        </w:rPr>
        <w:t>original</w:t>
      </w:r>
      <w:r w:rsidRPr="00E47003">
        <w:rPr>
          <w:rFonts w:cs="Arial"/>
          <w:spacing w:val="23"/>
        </w:rPr>
        <w:t xml:space="preserve"> </w:t>
      </w:r>
      <w:r w:rsidRPr="00E47003">
        <w:rPr>
          <w:rFonts w:cs="Arial"/>
        </w:rPr>
        <w:t>exemption</w:t>
      </w:r>
      <w:r w:rsidRPr="00E47003">
        <w:rPr>
          <w:rFonts w:cs="Arial"/>
          <w:spacing w:val="23"/>
        </w:rPr>
        <w:t xml:space="preserve"> </w:t>
      </w:r>
      <w:r w:rsidRPr="00E47003">
        <w:rPr>
          <w:rFonts w:cs="Arial"/>
          <w:spacing w:val="2"/>
        </w:rPr>
        <w:t>f</w:t>
      </w:r>
      <w:r w:rsidRPr="00E47003">
        <w:rPr>
          <w:rFonts w:cs="Arial"/>
        </w:rPr>
        <w:t>or</w:t>
      </w:r>
      <w:r w:rsidRPr="00E47003">
        <w:rPr>
          <w:rFonts w:cs="Arial"/>
          <w:spacing w:val="23"/>
        </w:rPr>
        <w:t xml:space="preserve"> </w:t>
      </w:r>
      <w:r w:rsidRPr="00E47003">
        <w:rPr>
          <w:rFonts w:cs="Arial"/>
        </w:rPr>
        <w:t>medicines</w:t>
      </w:r>
      <w:r w:rsidRPr="00E47003">
        <w:rPr>
          <w:rFonts w:cs="Arial"/>
          <w:spacing w:val="23"/>
        </w:rPr>
        <w:t xml:space="preserve"> </w:t>
      </w:r>
      <w:r w:rsidRPr="00E47003">
        <w:rPr>
          <w:rFonts w:cs="Arial"/>
        </w:rPr>
        <w:t>and</w:t>
      </w:r>
      <w:r w:rsidRPr="00E47003">
        <w:rPr>
          <w:rFonts w:cs="Arial"/>
          <w:spacing w:val="23"/>
        </w:rPr>
        <w:t xml:space="preserve"> </w:t>
      </w:r>
      <w:r w:rsidRPr="00E47003">
        <w:rPr>
          <w:rFonts w:cs="Arial"/>
        </w:rPr>
        <w:t>drugs</w:t>
      </w:r>
      <w:r w:rsidRPr="00E47003">
        <w:rPr>
          <w:rFonts w:cs="Arial"/>
          <w:spacing w:val="23"/>
        </w:rPr>
        <w:t xml:space="preserve"> </w:t>
      </w:r>
      <w:r w:rsidRPr="00E47003">
        <w:rPr>
          <w:rFonts w:cs="Arial"/>
        </w:rPr>
        <w:t>was</w:t>
      </w:r>
      <w:r w:rsidRPr="00E47003">
        <w:rPr>
          <w:rFonts w:cs="Arial"/>
          <w:spacing w:val="23"/>
        </w:rPr>
        <w:t xml:space="preserve"> </w:t>
      </w:r>
      <w:r w:rsidRPr="00E47003">
        <w:rPr>
          <w:rFonts w:cs="Arial"/>
        </w:rPr>
        <w:t xml:space="preserve">enacted. </w:t>
      </w:r>
      <w:r w:rsidRPr="00E47003">
        <w:rPr>
          <w:rFonts w:cs="Arial"/>
          <w:spacing w:val="47"/>
        </w:rPr>
        <w:t xml:space="preserve"> </w:t>
      </w:r>
      <w:r w:rsidRPr="00E47003">
        <w:rPr>
          <w:rFonts w:cs="Arial"/>
        </w:rPr>
        <w:t>The</w:t>
      </w:r>
      <w:r w:rsidRPr="00E47003">
        <w:rPr>
          <w:rFonts w:cs="Arial"/>
          <w:spacing w:val="23"/>
        </w:rPr>
        <w:t xml:space="preserve"> </w:t>
      </w:r>
      <w:r w:rsidRPr="00E47003">
        <w:rPr>
          <w:rFonts w:cs="Arial"/>
        </w:rPr>
        <w:t xml:space="preserve">exemption applied   to   medicines,   drugs,  </w:t>
      </w:r>
      <w:r w:rsidRPr="00E47003">
        <w:rPr>
          <w:rFonts w:cs="Arial"/>
          <w:spacing w:val="1"/>
        </w:rPr>
        <w:t xml:space="preserve"> </w:t>
      </w:r>
      <w:r w:rsidRPr="00E47003">
        <w:rPr>
          <w:rFonts w:cs="Arial"/>
        </w:rPr>
        <w:t>crutches,   braces,   artificial   eyes,   contact   lense</w:t>
      </w:r>
      <w:r w:rsidRPr="00E47003">
        <w:rPr>
          <w:rFonts w:cs="Arial"/>
          <w:spacing w:val="1"/>
        </w:rPr>
        <w:t>s</w:t>
      </w:r>
      <w:r w:rsidRPr="00E47003">
        <w:rPr>
          <w:rFonts w:cs="Arial"/>
        </w:rPr>
        <w:t>, eyeglas</w:t>
      </w:r>
      <w:r w:rsidRPr="00E47003">
        <w:rPr>
          <w:rFonts w:cs="Arial"/>
          <w:spacing w:val="1"/>
        </w:rPr>
        <w:t>s</w:t>
      </w:r>
      <w:r w:rsidRPr="00E47003">
        <w:rPr>
          <w:rFonts w:cs="Arial"/>
        </w:rPr>
        <w:t>e</w:t>
      </w:r>
      <w:r w:rsidRPr="00E47003">
        <w:rPr>
          <w:rFonts w:cs="Arial"/>
          <w:spacing w:val="1"/>
        </w:rPr>
        <w:t>s</w:t>
      </w:r>
      <w:r w:rsidRPr="00E47003">
        <w:rPr>
          <w:rFonts w:cs="Arial"/>
        </w:rPr>
        <w:t>, hearing aids, prosthetic devi</w:t>
      </w:r>
      <w:r w:rsidRPr="00E47003">
        <w:rPr>
          <w:rFonts w:cs="Arial"/>
          <w:spacing w:val="1"/>
        </w:rPr>
        <w:t>c</w:t>
      </w:r>
      <w:r w:rsidRPr="00E47003">
        <w:rPr>
          <w:rFonts w:cs="Arial"/>
        </w:rPr>
        <w:t>es and</w:t>
      </w:r>
      <w:r w:rsidRPr="00E47003">
        <w:rPr>
          <w:rFonts w:cs="Arial"/>
          <w:spacing w:val="1"/>
        </w:rPr>
        <w:t xml:space="preserve"> </w:t>
      </w:r>
      <w:r w:rsidRPr="00E47003">
        <w:rPr>
          <w:rFonts w:cs="Arial"/>
        </w:rPr>
        <w:t>orthopedic</w:t>
      </w:r>
      <w:r w:rsidRPr="00E47003">
        <w:rPr>
          <w:rFonts w:cs="Arial"/>
          <w:spacing w:val="1"/>
        </w:rPr>
        <w:t xml:space="preserve"> </w:t>
      </w:r>
      <w:r w:rsidRPr="00E47003">
        <w:rPr>
          <w:rFonts w:cs="Arial"/>
        </w:rPr>
        <w:t>appliances</w:t>
      </w:r>
      <w:r w:rsidRPr="00E47003">
        <w:rPr>
          <w:rFonts w:cs="Arial"/>
          <w:spacing w:val="1"/>
        </w:rPr>
        <w:t xml:space="preserve"> </w:t>
      </w:r>
      <w:r w:rsidRPr="00E47003">
        <w:rPr>
          <w:rFonts w:cs="Arial"/>
        </w:rPr>
        <w:t>dispensed by</w:t>
      </w:r>
      <w:r w:rsidRPr="00E47003">
        <w:rPr>
          <w:rFonts w:cs="Arial"/>
          <w:spacing w:val="1"/>
        </w:rPr>
        <w:t xml:space="preserve"> </w:t>
      </w:r>
      <w:r w:rsidRPr="00E47003">
        <w:rPr>
          <w:rFonts w:cs="Arial"/>
        </w:rPr>
        <w:t>or sold to patients on prescriptions</w:t>
      </w:r>
      <w:r w:rsidRPr="00E47003">
        <w:rPr>
          <w:rFonts w:cs="Arial"/>
          <w:spacing w:val="2"/>
        </w:rPr>
        <w:t xml:space="preserve"> </w:t>
      </w:r>
      <w:r w:rsidRPr="00E47003">
        <w:rPr>
          <w:rFonts w:cs="Arial"/>
        </w:rPr>
        <w:t>or work orders of licensed</w:t>
      </w:r>
      <w:r w:rsidRPr="00E47003">
        <w:rPr>
          <w:rFonts w:cs="Arial"/>
          <w:spacing w:val="1"/>
        </w:rPr>
        <w:t xml:space="preserve"> </w:t>
      </w:r>
      <w:r w:rsidRPr="00E47003">
        <w:rPr>
          <w:rFonts w:cs="Arial"/>
        </w:rPr>
        <w:t>physicians,</w:t>
      </w:r>
      <w:r w:rsidRPr="00E47003">
        <w:rPr>
          <w:rFonts w:cs="Arial"/>
          <w:spacing w:val="1"/>
        </w:rPr>
        <w:t xml:space="preserve"> </w:t>
      </w:r>
      <w:r w:rsidRPr="00E47003">
        <w:rPr>
          <w:rFonts w:cs="Arial"/>
        </w:rPr>
        <w:t>dentists,</w:t>
      </w:r>
      <w:r w:rsidRPr="00E47003">
        <w:rPr>
          <w:rFonts w:cs="Arial"/>
          <w:spacing w:val="1"/>
        </w:rPr>
        <w:t xml:space="preserve"> </w:t>
      </w:r>
      <w:r w:rsidRPr="00E47003">
        <w:rPr>
          <w:rFonts w:cs="Arial"/>
        </w:rPr>
        <w:t>optometrists, ophthalmologists or opticians.</w:t>
      </w:r>
    </w:p>
    <w:p w:rsidR="005B509A" w:rsidRPr="00E47003" w:rsidRDefault="005B509A" w:rsidP="00065BF6">
      <w:pPr>
        <w:widowControl w:val="0"/>
        <w:autoSpaceDE w:val="0"/>
        <w:autoSpaceDN w:val="0"/>
        <w:adjustRightInd w:val="0"/>
        <w:spacing w:after="0"/>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 xml:space="preserve">1972: </w:t>
      </w:r>
      <w:r w:rsidR="005B509A" w:rsidRPr="00E47003">
        <w:rPr>
          <w:rFonts w:cs="Arial"/>
        </w:rPr>
        <w:t>The exemption was expanded to inc</w:t>
      </w:r>
      <w:r w:rsidR="005B509A" w:rsidRPr="00E47003">
        <w:rPr>
          <w:rFonts w:cs="Arial"/>
          <w:spacing w:val="1"/>
        </w:rPr>
        <w:t>l</w:t>
      </w:r>
      <w:r w:rsidR="005B509A" w:rsidRPr="00E47003">
        <w:rPr>
          <w:rFonts w:cs="Arial"/>
        </w:rPr>
        <w:t>ude</w:t>
      </w:r>
      <w:r w:rsidR="005B509A" w:rsidRPr="00E47003">
        <w:rPr>
          <w:rFonts w:cs="Arial"/>
          <w:spacing w:val="1"/>
        </w:rPr>
        <w:t xml:space="preserve"> </w:t>
      </w:r>
      <w:r w:rsidR="005B509A" w:rsidRPr="00E47003">
        <w:rPr>
          <w:rFonts w:cs="Arial"/>
        </w:rPr>
        <w:t>prescription</w:t>
      </w:r>
      <w:r w:rsidR="005B509A" w:rsidRPr="00E47003">
        <w:rPr>
          <w:rFonts w:cs="Arial"/>
          <w:spacing w:val="1"/>
        </w:rPr>
        <w:t xml:space="preserve"> </w:t>
      </w:r>
      <w:r w:rsidR="005B509A" w:rsidRPr="00E47003">
        <w:rPr>
          <w:rFonts w:cs="Arial"/>
        </w:rPr>
        <w:t>drugs</w:t>
      </w:r>
      <w:r w:rsidR="005B509A" w:rsidRPr="00E47003">
        <w:rPr>
          <w:rFonts w:cs="Arial"/>
          <w:spacing w:val="1"/>
        </w:rPr>
        <w:t xml:space="preserve"> </w:t>
      </w:r>
      <w:r w:rsidR="005B509A" w:rsidRPr="00E47003">
        <w:rPr>
          <w:rFonts w:cs="Arial"/>
        </w:rPr>
        <w:t>purchased</w:t>
      </w:r>
      <w:r w:rsidR="005B509A" w:rsidRPr="00E47003">
        <w:rPr>
          <w:rFonts w:cs="Arial"/>
          <w:spacing w:val="1"/>
        </w:rPr>
        <w:t xml:space="preserve"> </w:t>
      </w:r>
      <w:r w:rsidR="005B509A" w:rsidRPr="00E47003">
        <w:rPr>
          <w:rFonts w:cs="Arial"/>
        </w:rPr>
        <w:t>by</w:t>
      </w:r>
      <w:r w:rsidR="005B509A" w:rsidRPr="00E47003">
        <w:rPr>
          <w:rFonts w:cs="Arial"/>
          <w:spacing w:val="1"/>
        </w:rPr>
        <w:t xml:space="preserve"> </w:t>
      </w:r>
      <w:r w:rsidR="005B509A" w:rsidRPr="00E47003">
        <w:rPr>
          <w:rFonts w:cs="Arial"/>
        </w:rPr>
        <w:t>a physician for use in his practice.</w:t>
      </w:r>
    </w:p>
    <w:p w:rsidR="005B509A" w:rsidRPr="00E47003" w:rsidRDefault="005B509A" w:rsidP="00065BF6">
      <w:pPr>
        <w:widowControl w:val="0"/>
        <w:autoSpaceDE w:val="0"/>
        <w:autoSpaceDN w:val="0"/>
        <w:adjustRightInd w:val="0"/>
        <w:spacing w:after="0"/>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1978:</w:t>
      </w:r>
      <w:r>
        <w:rPr>
          <w:rFonts w:cs="Arial"/>
        </w:rPr>
        <w:t xml:space="preserve"> </w:t>
      </w:r>
      <w:r w:rsidR="005B509A" w:rsidRPr="00E47003">
        <w:rPr>
          <w:rFonts w:cs="Arial"/>
        </w:rPr>
        <w:t>The exemption was</w:t>
      </w:r>
      <w:r w:rsidR="005B509A" w:rsidRPr="00E47003">
        <w:rPr>
          <w:rFonts w:cs="Arial"/>
          <w:spacing w:val="2"/>
        </w:rPr>
        <w:t xml:space="preserve"> </w:t>
      </w:r>
      <w:r w:rsidR="005B509A" w:rsidRPr="00E47003">
        <w:rPr>
          <w:rFonts w:cs="Arial"/>
        </w:rPr>
        <w:t>further expanded to include med</w:t>
      </w:r>
      <w:r w:rsidR="005B509A" w:rsidRPr="00E47003">
        <w:rPr>
          <w:rFonts w:cs="Arial"/>
          <w:spacing w:val="1"/>
        </w:rPr>
        <w:t>ic</w:t>
      </w:r>
      <w:r w:rsidR="005B509A" w:rsidRPr="00E47003">
        <w:rPr>
          <w:rFonts w:cs="Arial"/>
        </w:rPr>
        <w:t>ines,</w:t>
      </w:r>
      <w:r w:rsidR="005B509A" w:rsidRPr="00E47003">
        <w:rPr>
          <w:rFonts w:cs="Arial"/>
          <w:spacing w:val="1"/>
        </w:rPr>
        <w:t xml:space="preserve"> </w:t>
      </w:r>
      <w:r w:rsidR="005B509A" w:rsidRPr="00E47003">
        <w:rPr>
          <w:rFonts w:cs="Arial"/>
        </w:rPr>
        <w:t>drugs,</w:t>
      </w:r>
      <w:r w:rsidR="005B509A" w:rsidRPr="00E47003">
        <w:rPr>
          <w:rFonts w:cs="Arial"/>
          <w:spacing w:val="1"/>
        </w:rPr>
        <w:t xml:space="preserve"> </w:t>
      </w:r>
      <w:r w:rsidR="005B509A" w:rsidRPr="00E47003">
        <w:rPr>
          <w:rFonts w:cs="Arial"/>
        </w:rPr>
        <w:t>prosthetic devices, and orthopedic appliances sold on pr</w:t>
      </w:r>
      <w:r w:rsidR="005B509A" w:rsidRPr="00E47003">
        <w:rPr>
          <w:rFonts w:cs="Arial"/>
          <w:spacing w:val="1"/>
        </w:rPr>
        <w:t>e</w:t>
      </w:r>
      <w:r w:rsidR="005B509A" w:rsidRPr="00E47003">
        <w:rPr>
          <w:rFonts w:cs="Arial"/>
        </w:rPr>
        <w:t xml:space="preserve">scriptions of hearing aid dealers and fitters.  </w:t>
      </w:r>
      <w:r w:rsidR="005B509A" w:rsidRPr="00E47003">
        <w:rPr>
          <w:rFonts w:cs="Arial"/>
          <w:spacing w:val="16"/>
        </w:rPr>
        <w:t xml:space="preserve"> </w:t>
      </w:r>
      <w:r w:rsidR="005B509A" w:rsidRPr="00E47003">
        <w:rPr>
          <w:rFonts w:cs="Arial"/>
        </w:rPr>
        <w:t>In addition, wheelchai</w:t>
      </w:r>
      <w:r w:rsidR="005B509A" w:rsidRPr="00E47003">
        <w:rPr>
          <w:rFonts w:cs="Arial"/>
          <w:spacing w:val="2"/>
        </w:rPr>
        <w:t>r</w:t>
      </w:r>
      <w:r w:rsidR="005B509A" w:rsidRPr="00E47003">
        <w:rPr>
          <w:rFonts w:cs="Arial"/>
        </w:rPr>
        <w:t>s</w:t>
      </w:r>
      <w:r w:rsidR="005B509A" w:rsidRPr="00E47003">
        <w:rPr>
          <w:rFonts w:cs="Arial"/>
          <w:spacing w:val="1"/>
        </w:rPr>
        <w:t xml:space="preserve"> </w:t>
      </w:r>
      <w:r w:rsidR="005B509A" w:rsidRPr="00E47003">
        <w:rPr>
          <w:rFonts w:cs="Arial"/>
        </w:rPr>
        <w:lastRenderedPageBreak/>
        <w:t>sold on</w:t>
      </w:r>
      <w:r w:rsidR="005B509A" w:rsidRPr="00E47003">
        <w:rPr>
          <w:rFonts w:cs="Arial"/>
          <w:spacing w:val="1"/>
        </w:rPr>
        <w:t xml:space="preserve"> </w:t>
      </w:r>
      <w:r w:rsidR="005B509A" w:rsidRPr="00E47003">
        <w:rPr>
          <w:rFonts w:cs="Arial"/>
        </w:rPr>
        <w:t>prescriptions or work orders of licens</w:t>
      </w:r>
      <w:r w:rsidR="005B509A" w:rsidRPr="00E47003">
        <w:rPr>
          <w:rFonts w:cs="Arial"/>
          <w:spacing w:val="1"/>
        </w:rPr>
        <w:t>e</w:t>
      </w:r>
      <w:r w:rsidR="005B509A" w:rsidRPr="00E47003">
        <w:rPr>
          <w:rFonts w:cs="Arial"/>
        </w:rPr>
        <w:t>d physicians were included among the exempt items.</w:t>
      </w:r>
    </w:p>
    <w:p w:rsidR="005B509A" w:rsidRPr="00E47003" w:rsidRDefault="005B509A" w:rsidP="00065BF6">
      <w:pPr>
        <w:widowControl w:val="0"/>
        <w:autoSpaceDE w:val="0"/>
        <w:autoSpaceDN w:val="0"/>
        <w:adjustRightInd w:val="0"/>
        <w:spacing w:after="0"/>
        <w:rPr>
          <w:rFonts w:cs="Arial"/>
        </w:rPr>
      </w:pPr>
    </w:p>
    <w:p w:rsidR="005B509A" w:rsidRPr="00E47003" w:rsidRDefault="005B509A" w:rsidP="00065BF6">
      <w:pPr>
        <w:widowControl w:val="0"/>
        <w:autoSpaceDE w:val="0"/>
        <w:autoSpaceDN w:val="0"/>
        <w:adjustRightInd w:val="0"/>
        <w:spacing w:after="0"/>
        <w:jc w:val="both"/>
        <w:rPr>
          <w:rFonts w:cs="Arial"/>
        </w:rPr>
      </w:pPr>
      <w:r w:rsidRPr="00065BF6">
        <w:rPr>
          <w:rFonts w:cs="Arial"/>
          <w:u w:val="single"/>
        </w:rPr>
        <w:t>1979</w:t>
      </w:r>
      <w:r w:rsidR="00065BF6" w:rsidRPr="00065BF6">
        <w:rPr>
          <w:rFonts w:cs="Arial"/>
          <w:spacing w:val="1"/>
          <w:u w:val="single"/>
        </w:rPr>
        <w:t>:</w:t>
      </w:r>
      <w:r w:rsidR="00065BF6">
        <w:rPr>
          <w:rFonts w:cs="Arial"/>
          <w:spacing w:val="1"/>
        </w:rPr>
        <w:t xml:space="preserve"> </w:t>
      </w:r>
      <w:r w:rsidRPr="00E47003">
        <w:rPr>
          <w:rFonts w:cs="Arial"/>
        </w:rPr>
        <w:t>A</w:t>
      </w:r>
      <w:r w:rsidRPr="00E47003">
        <w:rPr>
          <w:rFonts w:cs="Arial"/>
          <w:spacing w:val="1"/>
        </w:rPr>
        <w:t xml:space="preserve"> s</w:t>
      </w:r>
      <w:r w:rsidRPr="00E47003">
        <w:rPr>
          <w:rFonts w:cs="Arial"/>
        </w:rPr>
        <w:t>eparate</w:t>
      </w:r>
      <w:r w:rsidRPr="00E47003">
        <w:rPr>
          <w:rFonts w:cs="Arial"/>
          <w:spacing w:val="1"/>
        </w:rPr>
        <w:t xml:space="preserve"> </w:t>
      </w:r>
      <w:r w:rsidRPr="00E47003">
        <w:rPr>
          <w:rFonts w:cs="Arial"/>
        </w:rPr>
        <w:t>exemption</w:t>
      </w:r>
      <w:r w:rsidRPr="00E47003">
        <w:rPr>
          <w:rFonts w:cs="Arial"/>
          <w:spacing w:val="1"/>
        </w:rPr>
        <w:t xml:space="preserve"> </w:t>
      </w:r>
      <w:r w:rsidRPr="00E47003">
        <w:rPr>
          <w:rFonts w:cs="Arial"/>
        </w:rPr>
        <w:t>was</w:t>
      </w:r>
      <w:r w:rsidRPr="00E47003">
        <w:rPr>
          <w:rFonts w:cs="Arial"/>
          <w:spacing w:val="1"/>
        </w:rPr>
        <w:t xml:space="preserve"> </w:t>
      </w:r>
      <w:r w:rsidRPr="00E47003">
        <w:rPr>
          <w:rFonts w:cs="Arial"/>
        </w:rPr>
        <w:t>enacted</w:t>
      </w:r>
      <w:r w:rsidRPr="00E47003">
        <w:rPr>
          <w:rFonts w:cs="Arial"/>
          <w:spacing w:val="1"/>
        </w:rPr>
        <w:t xml:space="preserve"> </w:t>
      </w:r>
      <w:r w:rsidRPr="00E47003">
        <w:rPr>
          <w:rFonts w:cs="Arial"/>
        </w:rPr>
        <w:t>for nonprescription purchases of prosthetic devices, orthopedic appliances, wheelchai</w:t>
      </w:r>
      <w:r w:rsidRPr="00E47003">
        <w:rPr>
          <w:rFonts w:cs="Arial"/>
          <w:spacing w:val="2"/>
        </w:rPr>
        <w:t>r</w:t>
      </w:r>
      <w:r w:rsidRPr="00E47003">
        <w:rPr>
          <w:rFonts w:cs="Arial"/>
        </w:rPr>
        <w:t>s, crutches, braces, catheters, and urina</w:t>
      </w:r>
      <w:r w:rsidRPr="00E47003">
        <w:rPr>
          <w:rFonts w:cs="Arial"/>
          <w:spacing w:val="2"/>
        </w:rPr>
        <w:t>r</w:t>
      </w:r>
      <w:r w:rsidRPr="00E47003">
        <w:rPr>
          <w:rFonts w:cs="Arial"/>
        </w:rPr>
        <w:t>y accessories by an individual for his own use.</w:t>
      </w:r>
    </w:p>
    <w:p w:rsidR="005B509A" w:rsidRPr="00E47003" w:rsidRDefault="005B509A" w:rsidP="00065BF6">
      <w:pPr>
        <w:widowControl w:val="0"/>
        <w:autoSpaceDE w:val="0"/>
        <w:autoSpaceDN w:val="0"/>
        <w:adjustRightInd w:val="0"/>
        <w:spacing w:after="0"/>
        <w:jc w:val="both"/>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1984:</w:t>
      </w:r>
      <w:r>
        <w:rPr>
          <w:rFonts w:cs="Arial"/>
        </w:rPr>
        <w:t xml:space="preserve"> </w:t>
      </w:r>
      <w:r w:rsidR="005B509A" w:rsidRPr="00E47003">
        <w:rPr>
          <w:rFonts w:cs="Arial"/>
        </w:rPr>
        <w:t>A separate</w:t>
      </w:r>
      <w:r w:rsidR="005B509A" w:rsidRPr="00E47003">
        <w:rPr>
          <w:rFonts w:cs="Arial"/>
          <w:spacing w:val="1"/>
        </w:rPr>
        <w:t xml:space="preserve"> </w:t>
      </w:r>
      <w:r w:rsidR="005B509A" w:rsidRPr="00E47003">
        <w:rPr>
          <w:rFonts w:cs="Arial"/>
        </w:rPr>
        <w:t>exempti</w:t>
      </w:r>
      <w:r w:rsidR="005B509A" w:rsidRPr="00E47003">
        <w:rPr>
          <w:rFonts w:cs="Arial"/>
          <w:spacing w:val="2"/>
        </w:rPr>
        <w:t>o</w:t>
      </w:r>
      <w:r w:rsidR="005B509A" w:rsidRPr="00E47003">
        <w:rPr>
          <w:rFonts w:cs="Arial"/>
        </w:rPr>
        <w:t>n for</w:t>
      </w:r>
      <w:r w:rsidR="005B509A" w:rsidRPr="00E47003">
        <w:rPr>
          <w:rFonts w:cs="Arial"/>
          <w:spacing w:val="1"/>
        </w:rPr>
        <w:t xml:space="preserve"> </w:t>
      </w:r>
      <w:r w:rsidR="005B509A" w:rsidRPr="00E47003">
        <w:rPr>
          <w:rFonts w:cs="Arial"/>
        </w:rPr>
        <w:t>hemodialysis</w:t>
      </w:r>
      <w:r w:rsidR="005B509A" w:rsidRPr="00E47003">
        <w:rPr>
          <w:rFonts w:cs="Arial"/>
          <w:spacing w:val="1"/>
        </w:rPr>
        <w:t xml:space="preserve"> </w:t>
      </w:r>
      <w:r w:rsidR="005B509A" w:rsidRPr="00E47003">
        <w:rPr>
          <w:rFonts w:cs="Arial"/>
        </w:rPr>
        <w:t>and</w:t>
      </w:r>
      <w:r w:rsidR="005B509A" w:rsidRPr="00E47003">
        <w:rPr>
          <w:rFonts w:cs="Arial"/>
          <w:spacing w:val="1"/>
        </w:rPr>
        <w:t xml:space="preserve"> </w:t>
      </w:r>
      <w:r w:rsidR="005B509A" w:rsidRPr="00E47003">
        <w:rPr>
          <w:rFonts w:cs="Arial"/>
        </w:rPr>
        <w:t>peritoneal</w:t>
      </w:r>
      <w:r w:rsidR="005B509A" w:rsidRPr="00E47003">
        <w:rPr>
          <w:rFonts w:cs="Arial"/>
          <w:spacing w:val="1"/>
        </w:rPr>
        <w:t xml:space="preserve"> </w:t>
      </w:r>
      <w:r w:rsidR="005B509A" w:rsidRPr="00E47003">
        <w:rPr>
          <w:rFonts w:cs="Arial"/>
        </w:rPr>
        <w:t>d</w:t>
      </w:r>
      <w:r w:rsidR="005B509A" w:rsidRPr="00E47003">
        <w:rPr>
          <w:rFonts w:cs="Arial"/>
          <w:spacing w:val="1"/>
        </w:rPr>
        <w:t>r</w:t>
      </w:r>
      <w:r w:rsidR="005B509A" w:rsidRPr="00E47003">
        <w:rPr>
          <w:rFonts w:cs="Arial"/>
        </w:rPr>
        <w:t>ugs and supplies was enacted and applied to all purchasers.</w:t>
      </w:r>
    </w:p>
    <w:p w:rsidR="005B509A" w:rsidRPr="00E47003" w:rsidRDefault="005B509A" w:rsidP="00065BF6">
      <w:pPr>
        <w:widowControl w:val="0"/>
        <w:autoSpaceDE w:val="0"/>
        <w:autoSpaceDN w:val="0"/>
        <w:adjustRightInd w:val="0"/>
        <w:spacing w:after="0"/>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1987:</w:t>
      </w:r>
      <w:r>
        <w:rPr>
          <w:rFonts w:cs="Arial"/>
        </w:rPr>
        <w:t xml:space="preserve"> </w:t>
      </w:r>
      <w:r w:rsidR="005B509A" w:rsidRPr="00E47003">
        <w:rPr>
          <w:rFonts w:cs="Arial"/>
        </w:rPr>
        <w:t>The medicines and drugs</w:t>
      </w:r>
      <w:r w:rsidR="005B509A" w:rsidRPr="00E47003">
        <w:rPr>
          <w:rFonts w:cs="Arial"/>
          <w:spacing w:val="2"/>
        </w:rPr>
        <w:t xml:space="preserve"> </w:t>
      </w:r>
      <w:r w:rsidR="005B509A" w:rsidRPr="00E47003">
        <w:rPr>
          <w:rFonts w:cs="Arial"/>
        </w:rPr>
        <w:t>exemption was expanded to include p</w:t>
      </w:r>
      <w:r w:rsidR="005B509A" w:rsidRPr="00E47003">
        <w:rPr>
          <w:rFonts w:cs="Arial"/>
          <w:spacing w:val="2"/>
        </w:rPr>
        <w:t>r</w:t>
      </w:r>
      <w:r w:rsidR="005B509A" w:rsidRPr="00E47003">
        <w:rPr>
          <w:rFonts w:cs="Arial"/>
        </w:rPr>
        <w:t>escriptions issued by</w:t>
      </w:r>
      <w:r w:rsidR="005B509A" w:rsidRPr="00E47003">
        <w:rPr>
          <w:rFonts w:cs="Arial"/>
          <w:spacing w:val="1"/>
        </w:rPr>
        <w:t xml:space="preserve"> </w:t>
      </w:r>
      <w:r w:rsidR="005B509A" w:rsidRPr="00E47003">
        <w:rPr>
          <w:rFonts w:cs="Arial"/>
        </w:rPr>
        <w:t>veterinarians; however, veter</w:t>
      </w:r>
      <w:r w:rsidR="005B509A" w:rsidRPr="00E47003">
        <w:rPr>
          <w:rFonts w:cs="Arial"/>
          <w:spacing w:val="-2"/>
        </w:rPr>
        <w:t>i</w:t>
      </w:r>
      <w:r w:rsidR="005B509A" w:rsidRPr="00E47003">
        <w:rPr>
          <w:rFonts w:cs="Arial"/>
        </w:rPr>
        <w:t>narians r</w:t>
      </w:r>
      <w:r w:rsidR="005B509A" w:rsidRPr="00E47003">
        <w:rPr>
          <w:rFonts w:cs="Arial"/>
          <w:spacing w:val="1"/>
        </w:rPr>
        <w:t>e</w:t>
      </w:r>
      <w:r w:rsidR="005B509A" w:rsidRPr="00E47003">
        <w:rPr>
          <w:rFonts w:cs="Arial"/>
        </w:rPr>
        <w:t>mained the taxable</w:t>
      </w:r>
      <w:r w:rsidR="005B509A" w:rsidRPr="00E47003">
        <w:rPr>
          <w:rFonts w:cs="Arial"/>
          <w:spacing w:val="1"/>
        </w:rPr>
        <w:t xml:space="preserve"> </w:t>
      </w:r>
      <w:r w:rsidR="005B509A" w:rsidRPr="00E47003">
        <w:rPr>
          <w:rFonts w:cs="Arial"/>
        </w:rPr>
        <w:t>users or consumers of all prescription medicines and drugs that they dispense.</w:t>
      </w:r>
    </w:p>
    <w:p w:rsidR="005B509A" w:rsidRPr="00E47003" w:rsidRDefault="005B509A" w:rsidP="00065BF6">
      <w:pPr>
        <w:widowControl w:val="0"/>
        <w:autoSpaceDE w:val="0"/>
        <w:autoSpaceDN w:val="0"/>
        <w:adjustRightInd w:val="0"/>
        <w:spacing w:after="0"/>
        <w:rPr>
          <w:rFonts w:cs="Arial"/>
        </w:rPr>
      </w:pPr>
    </w:p>
    <w:p w:rsidR="005B509A" w:rsidRPr="00E47003" w:rsidRDefault="005B509A" w:rsidP="00065BF6">
      <w:pPr>
        <w:widowControl w:val="0"/>
        <w:autoSpaceDE w:val="0"/>
        <w:autoSpaceDN w:val="0"/>
        <w:adjustRightInd w:val="0"/>
        <w:spacing w:after="0"/>
        <w:jc w:val="both"/>
        <w:rPr>
          <w:rFonts w:cs="Arial"/>
        </w:rPr>
      </w:pPr>
      <w:r w:rsidRPr="00065BF6">
        <w:rPr>
          <w:rFonts w:cs="Arial"/>
          <w:u w:val="single"/>
        </w:rPr>
        <w:t>1991</w:t>
      </w:r>
      <w:r w:rsidRPr="00065BF6">
        <w:rPr>
          <w:rFonts w:cs="Arial"/>
          <w:spacing w:val="1"/>
          <w:u w:val="single"/>
        </w:rPr>
        <w:t xml:space="preserve"> </w:t>
      </w:r>
      <w:r w:rsidRPr="00065BF6">
        <w:rPr>
          <w:rFonts w:cs="Arial"/>
          <w:u w:val="single"/>
        </w:rPr>
        <w:t>and</w:t>
      </w:r>
      <w:r w:rsidRPr="00065BF6">
        <w:rPr>
          <w:rFonts w:cs="Arial"/>
          <w:spacing w:val="1"/>
          <w:u w:val="single"/>
        </w:rPr>
        <w:t xml:space="preserve"> </w:t>
      </w:r>
      <w:r w:rsidRPr="00065BF6">
        <w:rPr>
          <w:rFonts w:cs="Arial"/>
          <w:u w:val="single"/>
        </w:rPr>
        <w:t>1992</w:t>
      </w:r>
      <w:r w:rsidR="00065BF6" w:rsidRPr="00065BF6">
        <w:rPr>
          <w:rFonts w:cs="Arial"/>
          <w:spacing w:val="1"/>
          <w:u w:val="single"/>
        </w:rPr>
        <w:t>:</w:t>
      </w:r>
      <w:r w:rsidR="00065BF6">
        <w:rPr>
          <w:rFonts w:cs="Arial"/>
          <w:spacing w:val="1"/>
        </w:rPr>
        <w:t xml:space="preserve"> </w:t>
      </w:r>
      <w:r w:rsidRPr="00E47003">
        <w:rPr>
          <w:rFonts w:cs="Arial"/>
        </w:rPr>
        <w:t>Legislation</w:t>
      </w:r>
      <w:r w:rsidRPr="00E47003">
        <w:rPr>
          <w:rFonts w:cs="Arial"/>
          <w:spacing w:val="1"/>
        </w:rPr>
        <w:t xml:space="preserve"> </w:t>
      </w:r>
      <w:r w:rsidRPr="00E47003">
        <w:rPr>
          <w:rFonts w:cs="Arial"/>
        </w:rPr>
        <w:t>was</w:t>
      </w:r>
      <w:r w:rsidRPr="00E47003">
        <w:rPr>
          <w:rFonts w:cs="Arial"/>
          <w:spacing w:val="2"/>
        </w:rPr>
        <w:t xml:space="preserve"> </w:t>
      </w:r>
      <w:r w:rsidRPr="00E47003">
        <w:rPr>
          <w:rFonts w:cs="Arial"/>
        </w:rPr>
        <w:t>ena</w:t>
      </w:r>
      <w:r w:rsidRPr="00E47003">
        <w:rPr>
          <w:rFonts w:cs="Arial"/>
          <w:spacing w:val="1"/>
        </w:rPr>
        <w:t>c</w:t>
      </w:r>
      <w:r w:rsidRPr="00E47003">
        <w:rPr>
          <w:rFonts w:cs="Arial"/>
        </w:rPr>
        <w:t>ted that granted licensed</w:t>
      </w:r>
      <w:r w:rsidRPr="00E47003">
        <w:rPr>
          <w:rFonts w:cs="Arial"/>
          <w:spacing w:val="2"/>
        </w:rPr>
        <w:t xml:space="preserve"> </w:t>
      </w:r>
      <w:r w:rsidRPr="00E47003">
        <w:rPr>
          <w:rFonts w:cs="Arial"/>
        </w:rPr>
        <w:t>nurse practitioners and licen</w:t>
      </w:r>
      <w:r w:rsidRPr="00E47003">
        <w:rPr>
          <w:rFonts w:cs="Arial"/>
          <w:spacing w:val="1"/>
        </w:rPr>
        <w:t>s</w:t>
      </w:r>
      <w:r w:rsidRPr="00E47003">
        <w:rPr>
          <w:rFonts w:cs="Arial"/>
        </w:rPr>
        <w:t>ed physician</w:t>
      </w:r>
      <w:r w:rsidRPr="00E47003">
        <w:rPr>
          <w:rFonts w:cs="Arial"/>
          <w:spacing w:val="1"/>
        </w:rPr>
        <w:t>s</w:t>
      </w:r>
      <w:r w:rsidRPr="00E47003">
        <w:rPr>
          <w:rFonts w:cs="Arial"/>
        </w:rPr>
        <w:t>’ a</w:t>
      </w:r>
      <w:r w:rsidRPr="00E47003">
        <w:rPr>
          <w:rFonts w:cs="Arial"/>
          <w:spacing w:val="1"/>
        </w:rPr>
        <w:t>s</w:t>
      </w:r>
      <w:r w:rsidRPr="00E47003">
        <w:rPr>
          <w:rFonts w:cs="Arial"/>
        </w:rPr>
        <w:t>sistants li</w:t>
      </w:r>
      <w:r w:rsidRPr="00E47003">
        <w:rPr>
          <w:rFonts w:cs="Arial"/>
          <w:spacing w:val="2"/>
        </w:rPr>
        <w:t>m</w:t>
      </w:r>
      <w:r w:rsidRPr="00E47003">
        <w:rPr>
          <w:rFonts w:cs="Arial"/>
        </w:rPr>
        <w:t>ited prescriptive authority.</w:t>
      </w:r>
    </w:p>
    <w:p w:rsidR="005B509A" w:rsidRPr="00E47003" w:rsidRDefault="005B509A" w:rsidP="00065BF6">
      <w:pPr>
        <w:widowControl w:val="0"/>
        <w:autoSpaceDE w:val="0"/>
        <w:autoSpaceDN w:val="0"/>
        <w:adjustRightInd w:val="0"/>
        <w:spacing w:after="0"/>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1992:</w:t>
      </w:r>
      <w:r>
        <w:rPr>
          <w:rFonts w:cs="Arial"/>
        </w:rPr>
        <w:t xml:space="preserve"> </w:t>
      </w:r>
      <w:r w:rsidR="005B509A" w:rsidRPr="00E47003">
        <w:rPr>
          <w:rFonts w:cs="Arial"/>
        </w:rPr>
        <w:t>The exemption was expanded to include controlled drugs purchased for use by a licen</w:t>
      </w:r>
      <w:r w:rsidR="005B509A" w:rsidRPr="00E47003">
        <w:rPr>
          <w:rFonts w:cs="Arial"/>
          <w:spacing w:val="1"/>
        </w:rPr>
        <w:t>s</w:t>
      </w:r>
      <w:r w:rsidR="005B509A" w:rsidRPr="00E47003">
        <w:rPr>
          <w:rFonts w:cs="Arial"/>
        </w:rPr>
        <w:t>ed physician in his professional practice</w:t>
      </w:r>
      <w:r w:rsidR="005B509A" w:rsidRPr="00E47003">
        <w:rPr>
          <w:rFonts w:cs="Arial"/>
          <w:spacing w:val="2"/>
        </w:rPr>
        <w:t xml:space="preserve"> </w:t>
      </w:r>
      <w:r w:rsidR="005B509A" w:rsidRPr="00E47003">
        <w:rPr>
          <w:rFonts w:cs="Arial"/>
        </w:rPr>
        <w:t>regardless of whether</w:t>
      </w:r>
      <w:r w:rsidR="005B509A" w:rsidRPr="00E47003">
        <w:rPr>
          <w:rFonts w:cs="Arial"/>
          <w:spacing w:val="1"/>
        </w:rPr>
        <w:t xml:space="preserve"> </w:t>
      </w:r>
      <w:r w:rsidR="005B509A" w:rsidRPr="00E47003">
        <w:rPr>
          <w:rFonts w:cs="Arial"/>
        </w:rPr>
        <w:t>such practice is organized as a sole proprietorship, par</w:t>
      </w:r>
      <w:r w:rsidR="005B509A" w:rsidRPr="00E47003">
        <w:rPr>
          <w:rFonts w:cs="Arial"/>
          <w:spacing w:val="1"/>
        </w:rPr>
        <w:t>t</w:t>
      </w:r>
      <w:r w:rsidR="005B509A" w:rsidRPr="00E47003">
        <w:rPr>
          <w:rFonts w:cs="Arial"/>
        </w:rPr>
        <w:t>nership or profess</w:t>
      </w:r>
      <w:r w:rsidR="005B509A" w:rsidRPr="00E47003">
        <w:rPr>
          <w:rFonts w:cs="Arial"/>
          <w:spacing w:val="-1"/>
        </w:rPr>
        <w:t>i</w:t>
      </w:r>
      <w:r w:rsidR="005B509A" w:rsidRPr="00E47003">
        <w:rPr>
          <w:rFonts w:cs="Arial"/>
        </w:rPr>
        <w:t>onal corporation.</w:t>
      </w:r>
    </w:p>
    <w:p w:rsidR="005B509A" w:rsidRPr="00E47003" w:rsidRDefault="005B509A" w:rsidP="00065BF6">
      <w:pPr>
        <w:widowControl w:val="0"/>
        <w:autoSpaceDE w:val="0"/>
        <w:autoSpaceDN w:val="0"/>
        <w:adjustRightInd w:val="0"/>
        <w:spacing w:after="0"/>
        <w:rPr>
          <w:rFonts w:cs="Arial"/>
        </w:rPr>
      </w:pPr>
    </w:p>
    <w:p w:rsidR="005B509A" w:rsidRPr="00E47003" w:rsidRDefault="005B509A" w:rsidP="00065BF6">
      <w:pPr>
        <w:widowControl w:val="0"/>
        <w:autoSpaceDE w:val="0"/>
        <w:autoSpaceDN w:val="0"/>
        <w:adjustRightInd w:val="0"/>
        <w:spacing w:after="0"/>
        <w:jc w:val="both"/>
        <w:rPr>
          <w:rFonts w:cs="Arial"/>
        </w:rPr>
      </w:pPr>
      <w:r w:rsidRPr="00065BF6">
        <w:rPr>
          <w:rFonts w:cs="Arial"/>
          <w:u w:val="single"/>
        </w:rPr>
        <w:t>1993</w:t>
      </w:r>
      <w:r w:rsidR="00065BF6" w:rsidRPr="00065BF6">
        <w:rPr>
          <w:rFonts w:cs="Arial"/>
          <w:spacing w:val="1"/>
          <w:u w:val="single"/>
        </w:rPr>
        <w:t xml:space="preserve">: </w:t>
      </w:r>
      <w:r w:rsidRPr="00E47003">
        <w:rPr>
          <w:rFonts w:cs="Arial"/>
        </w:rPr>
        <w:t>The</w:t>
      </w:r>
      <w:r w:rsidRPr="00E47003">
        <w:rPr>
          <w:rFonts w:cs="Arial"/>
          <w:spacing w:val="1"/>
        </w:rPr>
        <w:t xml:space="preserve"> </w:t>
      </w:r>
      <w:r w:rsidRPr="00E47003">
        <w:rPr>
          <w:rFonts w:cs="Arial"/>
        </w:rPr>
        <w:t>exemption</w:t>
      </w:r>
      <w:r w:rsidRPr="00E47003">
        <w:rPr>
          <w:rFonts w:cs="Arial"/>
          <w:spacing w:val="1"/>
        </w:rPr>
        <w:t xml:space="preserve"> </w:t>
      </w:r>
      <w:r w:rsidRPr="00E47003">
        <w:rPr>
          <w:rFonts w:cs="Arial"/>
        </w:rPr>
        <w:t>was</w:t>
      </w:r>
      <w:r w:rsidRPr="00E47003">
        <w:rPr>
          <w:rFonts w:cs="Arial"/>
          <w:spacing w:val="1"/>
        </w:rPr>
        <w:t xml:space="preserve"> </w:t>
      </w:r>
      <w:r w:rsidRPr="00E47003">
        <w:rPr>
          <w:rFonts w:cs="Arial"/>
        </w:rPr>
        <w:t>expanded</w:t>
      </w:r>
      <w:r w:rsidRPr="00E47003">
        <w:rPr>
          <w:rFonts w:cs="Arial"/>
          <w:spacing w:val="1"/>
        </w:rPr>
        <w:t xml:space="preserve"> </w:t>
      </w:r>
      <w:r w:rsidRPr="00E47003">
        <w:rPr>
          <w:rFonts w:cs="Arial"/>
        </w:rPr>
        <w:t>to</w:t>
      </w:r>
      <w:r w:rsidRPr="00E47003">
        <w:rPr>
          <w:rFonts w:cs="Arial"/>
          <w:spacing w:val="1"/>
        </w:rPr>
        <w:t xml:space="preserve"> </w:t>
      </w:r>
      <w:r w:rsidRPr="00E47003">
        <w:rPr>
          <w:rFonts w:cs="Arial"/>
        </w:rPr>
        <w:t>in</w:t>
      </w:r>
      <w:r w:rsidRPr="00E47003">
        <w:rPr>
          <w:rFonts w:cs="Arial"/>
          <w:spacing w:val="1"/>
        </w:rPr>
        <w:t>c</w:t>
      </w:r>
      <w:r w:rsidRPr="00E47003">
        <w:rPr>
          <w:rFonts w:cs="Arial"/>
          <w:spacing w:val="-1"/>
        </w:rPr>
        <w:t>l</w:t>
      </w:r>
      <w:r w:rsidRPr="00E47003">
        <w:rPr>
          <w:rFonts w:cs="Arial"/>
        </w:rPr>
        <w:t>ude prescription</w:t>
      </w:r>
      <w:r w:rsidRPr="00E47003">
        <w:rPr>
          <w:rFonts w:cs="Arial"/>
          <w:spacing w:val="2"/>
        </w:rPr>
        <w:t xml:space="preserve"> </w:t>
      </w:r>
      <w:r w:rsidRPr="00E47003">
        <w:rPr>
          <w:rFonts w:cs="Arial"/>
        </w:rPr>
        <w:t>drugs</w:t>
      </w:r>
      <w:r w:rsidRPr="00E47003">
        <w:rPr>
          <w:rFonts w:cs="Arial"/>
          <w:spacing w:val="2"/>
        </w:rPr>
        <w:t xml:space="preserve"> </w:t>
      </w:r>
      <w:r w:rsidRPr="00E47003">
        <w:rPr>
          <w:rFonts w:cs="Arial"/>
        </w:rPr>
        <w:t>pu</w:t>
      </w:r>
      <w:r w:rsidRPr="00E47003">
        <w:rPr>
          <w:rFonts w:cs="Arial"/>
          <w:spacing w:val="1"/>
        </w:rPr>
        <w:t>r</w:t>
      </w:r>
      <w:r w:rsidRPr="00E47003">
        <w:rPr>
          <w:rFonts w:cs="Arial"/>
        </w:rPr>
        <w:t>chased</w:t>
      </w:r>
      <w:r w:rsidRPr="00E47003">
        <w:rPr>
          <w:rFonts w:cs="Arial"/>
          <w:spacing w:val="1"/>
        </w:rPr>
        <w:t xml:space="preserve"> </w:t>
      </w:r>
      <w:r w:rsidRPr="00E47003">
        <w:rPr>
          <w:rFonts w:cs="Arial"/>
        </w:rPr>
        <w:t>by</w:t>
      </w:r>
      <w:r w:rsidRPr="00E47003">
        <w:rPr>
          <w:rFonts w:cs="Arial"/>
          <w:spacing w:val="1"/>
        </w:rPr>
        <w:t xml:space="preserve"> </w:t>
      </w:r>
      <w:r w:rsidRPr="00E47003">
        <w:rPr>
          <w:rFonts w:cs="Arial"/>
        </w:rPr>
        <w:t>and</w:t>
      </w:r>
      <w:r w:rsidRPr="00E47003">
        <w:rPr>
          <w:rFonts w:cs="Arial"/>
          <w:spacing w:val="1"/>
        </w:rPr>
        <w:t xml:space="preserve"> </w:t>
      </w:r>
      <w:r w:rsidRPr="00E47003">
        <w:rPr>
          <w:rFonts w:cs="Arial"/>
        </w:rPr>
        <w:t>for physicians when organized as</w:t>
      </w:r>
      <w:r w:rsidRPr="00E47003">
        <w:rPr>
          <w:rFonts w:cs="Arial"/>
          <w:spacing w:val="1"/>
        </w:rPr>
        <w:t xml:space="preserve"> </w:t>
      </w:r>
      <w:r w:rsidRPr="00E47003">
        <w:rPr>
          <w:rFonts w:cs="Arial"/>
        </w:rPr>
        <w:t>a corporation in w</w:t>
      </w:r>
      <w:r w:rsidRPr="00E47003">
        <w:rPr>
          <w:rFonts w:cs="Arial"/>
          <w:spacing w:val="1"/>
        </w:rPr>
        <w:t>h</w:t>
      </w:r>
      <w:r w:rsidRPr="00E47003">
        <w:rPr>
          <w:rFonts w:cs="Arial"/>
        </w:rPr>
        <w:t xml:space="preserve">ich </w:t>
      </w:r>
      <w:r w:rsidRPr="00E47003">
        <w:rPr>
          <w:rFonts w:cs="Arial"/>
          <w:spacing w:val="1"/>
        </w:rPr>
        <w:t>s</w:t>
      </w:r>
      <w:r w:rsidRPr="00E47003">
        <w:rPr>
          <w:rFonts w:cs="Arial"/>
        </w:rPr>
        <w:t>ha</w:t>
      </w:r>
      <w:r w:rsidRPr="00E47003">
        <w:rPr>
          <w:rFonts w:cs="Arial"/>
          <w:spacing w:val="1"/>
        </w:rPr>
        <w:t>r</w:t>
      </w:r>
      <w:r w:rsidRPr="00E47003">
        <w:rPr>
          <w:rFonts w:cs="Arial"/>
        </w:rPr>
        <w:t>eholders and ope</w:t>
      </w:r>
      <w:r w:rsidRPr="00E47003">
        <w:rPr>
          <w:rFonts w:cs="Arial"/>
          <w:spacing w:val="2"/>
        </w:rPr>
        <w:t>r</w:t>
      </w:r>
      <w:r w:rsidRPr="00E47003">
        <w:rPr>
          <w:rFonts w:cs="Arial"/>
        </w:rPr>
        <w:t>ators are all licen</w:t>
      </w:r>
      <w:r w:rsidRPr="00E47003">
        <w:rPr>
          <w:rFonts w:cs="Arial"/>
          <w:spacing w:val="1"/>
        </w:rPr>
        <w:t>s</w:t>
      </w:r>
      <w:r w:rsidRPr="00E47003">
        <w:rPr>
          <w:rFonts w:cs="Arial"/>
        </w:rPr>
        <w:t>ed physicians p</w:t>
      </w:r>
      <w:r w:rsidRPr="00E47003">
        <w:rPr>
          <w:rFonts w:cs="Arial"/>
          <w:spacing w:val="2"/>
        </w:rPr>
        <w:t>r</w:t>
      </w:r>
      <w:r w:rsidRPr="00E47003">
        <w:rPr>
          <w:rFonts w:cs="Arial"/>
        </w:rPr>
        <w:t>acticing medicine.</w:t>
      </w:r>
    </w:p>
    <w:p w:rsidR="005B509A" w:rsidRPr="00E47003" w:rsidRDefault="005B509A" w:rsidP="00065BF6">
      <w:pPr>
        <w:widowControl w:val="0"/>
        <w:autoSpaceDE w:val="0"/>
        <w:autoSpaceDN w:val="0"/>
        <w:adjustRightInd w:val="0"/>
        <w:spacing w:after="0"/>
        <w:rPr>
          <w:rFonts w:cs="Arial"/>
        </w:rPr>
      </w:pPr>
    </w:p>
    <w:p w:rsidR="005B509A" w:rsidRPr="00E47003" w:rsidRDefault="005B509A" w:rsidP="00065BF6">
      <w:pPr>
        <w:widowControl w:val="0"/>
        <w:autoSpaceDE w:val="0"/>
        <w:autoSpaceDN w:val="0"/>
        <w:adjustRightInd w:val="0"/>
        <w:spacing w:after="0"/>
        <w:jc w:val="both"/>
        <w:rPr>
          <w:rFonts w:cs="Arial"/>
        </w:rPr>
      </w:pPr>
      <w:r w:rsidRPr="00065BF6">
        <w:rPr>
          <w:rFonts w:cs="Arial"/>
          <w:u w:val="single"/>
        </w:rPr>
        <w:t>1995</w:t>
      </w:r>
      <w:r w:rsidR="00065BF6" w:rsidRPr="00065BF6">
        <w:rPr>
          <w:rFonts w:cs="Arial"/>
          <w:spacing w:val="54"/>
          <w:u w:val="single"/>
        </w:rPr>
        <w:t>:</w:t>
      </w:r>
      <w:r w:rsidR="00065BF6">
        <w:rPr>
          <w:rFonts w:cs="Arial"/>
          <w:spacing w:val="54"/>
        </w:rPr>
        <w:t xml:space="preserve"> </w:t>
      </w:r>
      <w:r w:rsidRPr="00E47003">
        <w:rPr>
          <w:rFonts w:cs="Arial"/>
        </w:rPr>
        <w:t>Legislation</w:t>
      </w:r>
      <w:r w:rsidRPr="00E47003">
        <w:rPr>
          <w:rFonts w:cs="Arial"/>
          <w:spacing w:val="54"/>
        </w:rPr>
        <w:t xml:space="preserve"> </w:t>
      </w:r>
      <w:r w:rsidRPr="00E47003">
        <w:rPr>
          <w:rFonts w:cs="Arial"/>
        </w:rPr>
        <w:t>was</w:t>
      </w:r>
      <w:r w:rsidRPr="00E47003">
        <w:rPr>
          <w:rFonts w:cs="Arial"/>
          <w:spacing w:val="54"/>
        </w:rPr>
        <w:t xml:space="preserve"> </w:t>
      </w:r>
      <w:r w:rsidRPr="00E47003">
        <w:rPr>
          <w:rFonts w:cs="Arial"/>
        </w:rPr>
        <w:t>enacted</w:t>
      </w:r>
      <w:r w:rsidRPr="00E47003">
        <w:rPr>
          <w:rFonts w:cs="Arial"/>
          <w:spacing w:val="54"/>
        </w:rPr>
        <w:t xml:space="preserve"> </w:t>
      </w:r>
      <w:r w:rsidRPr="00E47003">
        <w:rPr>
          <w:rFonts w:cs="Arial"/>
        </w:rPr>
        <w:t>that</w:t>
      </w:r>
      <w:r w:rsidRPr="00E47003">
        <w:rPr>
          <w:rFonts w:cs="Arial"/>
          <w:spacing w:val="54"/>
        </w:rPr>
        <w:t xml:space="preserve"> </w:t>
      </w:r>
      <w:r w:rsidRPr="00E47003">
        <w:rPr>
          <w:rFonts w:cs="Arial"/>
        </w:rPr>
        <w:t>clarified</w:t>
      </w:r>
      <w:r w:rsidRPr="00E47003">
        <w:rPr>
          <w:rFonts w:cs="Arial"/>
          <w:spacing w:val="53"/>
        </w:rPr>
        <w:t xml:space="preserve"> </w:t>
      </w:r>
      <w:r w:rsidRPr="00E47003">
        <w:rPr>
          <w:rFonts w:cs="Arial"/>
        </w:rPr>
        <w:t>that</w:t>
      </w:r>
      <w:r w:rsidRPr="00E47003">
        <w:rPr>
          <w:rFonts w:cs="Arial"/>
          <w:spacing w:val="53"/>
        </w:rPr>
        <w:t xml:space="preserve"> </w:t>
      </w:r>
      <w:r w:rsidRPr="00E47003">
        <w:rPr>
          <w:rFonts w:cs="Arial"/>
        </w:rPr>
        <w:t>the</w:t>
      </w:r>
      <w:r w:rsidRPr="00E47003">
        <w:rPr>
          <w:rFonts w:cs="Arial"/>
          <w:spacing w:val="53"/>
        </w:rPr>
        <w:t xml:space="preserve"> </w:t>
      </w:r>
      <w:r w:rsidRPr="00E47003">
        <w:rPr>
          <w:rFonts w:cs="Arial"/>
        </w:rPr>
        <w:t>exempti</w:t>
      </w:r>
      <w:r w:rsidRPr="00E47003">
        <w:rPr>
          <w:rFonts w:cs="Arial"/>
          <w:spacing w:val="2"/>
        </w:rPr>
        <w:t>o</w:t>
      </w:r>
      <w:r w:rsidRPr="00E47003">
        <w:rPr>
          <w:rFonts w:cs="Arial"/>
        </w:rPr>
        <w:t>n</w:t>
      </w:r>
      <w:r w:rsidRPr="00E47003">
        <w:rPr>
          <w:rFonts w:cs="Arial"/>
          <w:spacing w:val="53"/>
        </w:rPr>
        <w:t xml:space="preserve"> </w:t>
      </w:r>
      <w:r w:rsidRPr="00E47003">
        <w:rPr>
          <w:rFonts w:cs="Arial"/>
        </w:rPr>
        <w:t>for</w:t>
      </w:r>
      <w:r w:rsidRPr="00E47003">
        <w:rPr>
          <w:rFonts w:cs="Arial"/>
          <w:spacing w:val="53"/>
        </w:rPr>
        <w:t xml:space="preserve"> </w:t>
      </w:r>
      <w:r w:rsidRPr="00E47003">
        <w:rPr>
          <w:rFonts w:cs="Arial"/>
        </w:rPr>
        <w:t>medicines</w:t>
      </w:r>
      <w:r w:rsidRPr="00E47003">
        <w:rPr>
          <w:rFonts w:cs="Arial"/>
          <w:spacing w:val="53"/>
        </w:rPr>
        <w:t xml:space="preserve"> </w:t>
      </w:r>
      <w:r w:rsidRPr="00E47003">
        <w:rPr>
          <w:rFonts w:cs="Arial"/>
        </w:rPr>
        <w:t>and drugs</w:t>
      </w:r>
      <w:r w:rsidRPr="00E47003">
        <w:rPr>
          <w:rFonts w:cs="Arial"/>
          <w:spacing w:val="1"/>
        </w:rPr>
        <w:t xml:space="preserve"> </w:t>
      </w:r>
      <w:r w:rsidRPr="00E47003">
        <w:rPr>
          <w:rFonts w:cs="Arial"/>
        </w:rPr>
        <w:t>dispensed</w:t>
      </w:r>
      <w:r w:rsidRPr="00E47003">
        <w:rPr>
          <w:rFonts w:cs="Arial"/>
          <w:spacing w:val="1"/>
        </w:rPr>
        <w:t xml:space="preserve"> </w:t>
      </w:r>
      <w:r w:rsidRPr="00E47003">
        <w:rPr>
          <w:rFonts w:cs="Arial"/>
        </w:rPr>
        <w:t>by</w:t>
      </w:r>
      <w:r w:rsidRPr="00E47003">
        <w:rPr>
          <w:rFonts w:cs="Arial"/>
          <w:spacing w:val="1"/>
        </w:rPr>
        <w:t xml:space="preserve"> </w:t>
      </w:r>
      <w:r w:rsidRPr="00E47003">
        <w:rPr>
          <w:rFonts w:cs="Arial"/>
        </w:rPr>
        <w:t>certain</w:t>
      </w:r>
      <w:r w:rsidRPr="00E47003">
        <w:rPr>
          <w:rFonts w:cs="Arial"/>
          <w:spacing w:val="1"/>
        </w:rPr>
        <w:t xml:space="preserve"> </w:t>
      </w:r>
      <w:r w:rsidRPr="00E47003">
        <w:rPr>
          <w:rFonts w:cs="Arial"/>
        </w:rPr>
        <w:t>practitioners</w:t>
      </w:r>
      <w:r w:rsidRPr="00E47003">
        <w:rPr>
          <w:rFonts w:cs="Arial"/>
          <w:spacing w:val="1"/>
        </w:rPr>
        <w:t xml:space="preserve"> </w:t>
      </w:r>
      <w:r w:rsidRPr="00E47003">
        <w:rPr>
          <w:rFonts w:cs="Arial"/>
        </w:rPr>
        <w:t>on</w:t>
      </w:r>
      <w:r w:rsidRPr="00E47003">
        <w:rPr>
          <w:rFonts w:cs="Arial"/>
          <w:spacing w:val="2"/>
        </w:rPr>
        <w:t xml:space="preserve"> </w:t>
      </w:r>
      <w:r w:rsidRPr="00E47003">
        <w:rPr>
          <w:rFonts w:cs="Arial"/>
        </w:rPr>
        <w:t>prescription orders was applicable to prescriptions</w:t>
      </w:r>
      <w:r w:rsidRPr="00E47003">
        <w:rPr>
          <w:rFonts w:cs="Arial"/>
          <w:spacing w:val="1"/>
        </w:rPr>
        <w:t xml:space="preserve"> </w:t>
      </w:r>
      <w:r w:rsidRPr="00E47003">
        <w:rPr>
          <w:rFonts w:cs="Arial"/>
        </w:rPr>
        <w:t>issued</w:t>
      </w:r>
      <w:r w:rsidRPr="00E47003">
        <w:rPr>
          <w:rFonts w:cs="Arial"/>
          <w:spacing w:val="1"/>
        </w:rPr>
        <w:t xml:space="preserve"> </w:t>
      </w:r>
      <w:r w:rsidRPr="00E47003">
        <w:rPr>
          <w:rFonts w:cs="Arial"/>
        </w:rPr>
        <w:t>by</w:t>
      </w:r>
      <w:r w:rsidRPr="00E47003">
        <w:rPr>
          <w:rFonts w:cs="Arial"/>
          <w:spacing w:val="1"/>
        </w:rPr>
        <w:t xml:space="preserve"> </w:t>
      </w:r>
      <w:r w:rsidRPr="00E47003">
        <w:rPr>
          <w:rFonts w:cs="Arial"/>
        </w:rPr>
        <w:t>licensed</w:t>
      </w:r>
      <w:r w:rsidRPr="00E47003">
        <w:rPr>
          <w:rFonts w:cs="Arial"/>
          <w:spacing w:val="1"/>
        </w:rPr>
        <w:t xml:space="preserve"> </w:t>
      </w:r>
      <w:r w:rsidRPr="00E47003">
        <w:rPr>
          <w:rFonts w:cs="Arial"/>
        </w:rPr>
        <w:t>nurse</w:t>
      </w:r>
      <w:r w:rsidRPr="00E47003">
        <w:rPr>
          <w:rFonts w:cs="Arial"/>
          <w:spacing w:val="1"/>
        </w:rPr>
        <w:t xml:space="preserve"> </w:t>
      </w:r>
      <w:r w:rsidRPr="00E47003">
        <w:rPr>
          <w:rFonts w:cs="Arial"/>
        </w:rPr>
        <w:t>practit</w:t>
      </w:r>
      <w:r w:rsidRPr="00E47003">
        <w:rPr>
          <w:rFonts w:cs="Arial"/>
          <w:spacing w:val="-1"/>
        </w:rPr>
        <w:t>i</w:t>
      </w:r>
      <w:r w:rsidRPr="00E47003">
        <w:rPr>
          <w:rFonts w:cs="Arial"/>
        </w:rPr>
        <w:t>oners and licensed physicians’ assistants.</w:t>
      </w:r>
    </w:p>
    <w:p w:rsidR="005B509A" w:rsidRPr="00E47003" w:rsidRDefault="005B509A" w:rsidP="00065BF6">
      <w:pPr>
        <w:widowControl w:val="0"/>
        <w:autoSpaceDE w:val="0"/>
        <w:autoSpaceDN w:val="0"/>
        <w:adjustRightInd w:val="0"/>
        <w:spacing w:after="0"/>
        <w:jc w:val="both"/>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1998:</w:t>
      </w:r>
      <w:r>
        <w:rPr>
          <w:rFonts w:cs="Arial"/>
        </w:rPr>
        <w:t xml:space="preserve"> </w:t>
      </w:r>
      <w:r w:rsidR="005B509A" w:rsidRPr="00E47003">
        <w:rPr>
          <w:rFonts w:cs="Arial"/>
        </w:rPr>
        <w:t>The</w:t>
      </w:r>
      <w:r w:rsidR="005B509A" w:rsidRPr="00E47003">
        <w:rPr>
          <w:rFonts w:cs="Arial"/>
          <w:spacing w:val="2"/>
        </w:rPr>
        <w:t xml:space="preserve"> </w:t>
      </w:r>
      <w:r w:rsidR="005B509A" w:rsidRPr="00E47003">
        <w:rPr>
          <w:rFonts w:cs="Arial"/>
        </w:rPr>
        <w:t>exemption</w:t>
      </w:r>
      <w:r w:rsidR="005B509A" w:rsidRPr="00E47003">
        <w:rPr>
          <w:rFonts w:cs="Arial"/>
          <w:spacing w:val="2"/>
        </w:rPr>
        <w:t xml:space="preserve"> </w:t>
      </w:r>
      <w:r w:rsidR="005B509A" w:rsidRPr="00E47003">
        <w:rPr>
          <w:rFonts w:cs="Arial"/>
        </w:rPr>
        <w:t>for nonprescription drugs</w:t>
      </w:r>
      <w:r w:rsidR="005B509A" w:rsidRPr="00E47003">
        <w:rPr>
          <w:rFonts w:cs="Arial"/>
          <w:spacing w:val="2"/>
        </w:rPr>
        <w:t xml:space="preserve"> </w:t>
      </w:r>
      <w:r w:rsidR="005B509A" w:rsidRPr="00E47003">
        <w:rPr>
          <w:rFonts w:cs="Arial"/>
        </w:rPr>
        <w:t>and proprietary medicines</w:t>
      </w:r>
      <w:r w:rsidR="005B509A" w:rsidRPr="00E47003">
        <w:rPr>
          <w:rFonts w:cs="Arial"/>
          <w:spacing w:val="2"/>
        </w:rPr>
        <w:t xml:space="preserve"> </w:t>
      </w:r>
      <w:r w:rsidR="005B509A" w:rsidRPr="00E47003">
        <w:rPr>
          <w:rFonts w:cs="Arial"/>
        </w:rPr>
        <w:t>became effective. The</w:t>
      </w:r>
      <w:r w:rsidR="005B509A" w:rsidRPr="00E47003">
        <w:rPr>
          <w:rFonts w:cs="Arial"/>
          <w:spacing w:val="1"/>
        </w:rPr>
        <w:t xml:space="preserve"> </w:t>
      </w:r>
      <w:r w:rsidR="005B509A" w:rsidRPr="00E47003">
        <w:rPr>
          <w:rFonts w:cs="Arial"/>
        </w:rPr>
        <w:t>General</w:t>
      </w:r>
      <w:r w:rsidR="005B509A" w:rsidRPr="00E47003">
        <w:rPr>
          <w:rFonts w:cs="Arial"/>
          <w:spacing w:val="1"/>
        </w:rPr>
        <w:t xml:space="preserve"> </w:t>
      </w:r>
      <w:r w:rsidR="005B509A" w:rsidRPr="00E47003">
        <w:rPr>
          <w:rFonts w:cs="Arial"/>
        </w:rPr>
        <w:t>Assembly enacted the exemption in</w:t>
      </w:r>
      <w:r w:rsidR="005B509A" w:rsidRPr="00E47003">
        <w:rPr>
          <w:rFonts w:cs="Arial"/>
          <w:spacing w:val="61"/>
        </w:rPr>
        <w:t xml:space="preserve"> </w:t>
      </w:r>
      <w:r w:rsidR="005B509A" w:rsidRPr="00E47003">
        <w:rPr>
          <w:rFonts w:cs="Arial"/>
        </w:rPr>
        <w:t>1990</w:t>
      </w:r>
      <w:r w:rsidR="005B509A" w:rsidRPr="00E47003">
        <w:rPr>
          <w:rFonts w:cs="Arial"/>
          <w:spacing w:val="61"/>
        </w:rPr>
        <w:t xml:space="preserve"> </w:t>
      </w:r>
      <w:r w:rsidR="005B509A" w:rsidRPr="00E47003">
        <w:rPr>
          <w:rFonts w:cs="Arial"/>
        </w:rPr>
        <w:t>with</w:t>
      </w:r>
      <w:r w:rsidR="005B509A" w:rsidRPr="00E47003">
        <w:rPr>
          <w:rFonts w:cs="Arial"/>
          <w:spacing w:val="61"/>
        </w:rPr>
        <w:t xml:space="preserve"> </w:t>
      </w:r>
      <w:r w:rsidR="005B509A" w:rsidRPr="00E47003">
        <w:rPr>
          <w:rFonts w:cs="Arial"/>
        </w:rPr>
        <w:t>an</w:t>
      </w:r>
      <w:r w:rsidR="005B509A" w:rsidRPr="00E47003">
        <w:rPr>
          <w:rFonts w:cs="Arial"/>
          <w:spacing w:val="61"/>
        </w:rPr>
        <w:t xml:space="preserve"> </w:t>
      </w:r>
      <w:r w:rsidR="005B509A" w:rsidRPr="00E47003">
        <w:rPr>
          <w:rFonts w:cs="Arial"/>
        </w:rPr>
        <w:t>effective</w:t>
      </w:r>
      <w:r w:rsidR="005B509A" w:rsidRPr="00E47003">
        <w:rPr>
          <w:rFonts w:cs="Arial"/>
          <w:spacing w:val="61"/>
        </w:rPr>
        <w:t xml:space="preserve"> </w:t>
      </w:r>
      <w:r w:rsidR="005B509A" w:rsidRPr="00E47003">
        <w:rPr>
          <w:rFonts w:cs="Arial"/>
        </w:rPr>
        <w:t>da</w:t>
      </w:r>
      <w:r w:rsidR="005B509A" w:rsidRPr="00E47003">
        <w:rPr>
          <w:rFonts w:cs="Arial"/>
          <w:spacing w:val="2"/>
        </w:rPr>
        <w:t>t</w:t>
      </w:r>
      <w:r w:rsidR="005B509A" w:rsidRPr="00E47003">
        <w:rPr>
          <w:rFonts w:cs="Arial"/>
        </w:rPr>
        <w:t>e</w:t>
      </w:r>
      <w:r w:rsidR="005B509A" w:rsidRPr="00E47003">
        <w:rPr>
          <w:rFonts w:cs="Arial"/>
          <w:spacing w:val="61"/>
        </w:rPr>
        <w:t xml:space="preserve"> </w:t>
      </w:r>
      <w:r w:rsidR="005B509A" w:rsidRPr="00E47003">
        <w:rPr>
          <w:rFonts w:cs="Arial"/>
        </w:rPr>
        <w:t>of</w:t>
      </w:r>
      <w:r w:rsidR="005B509A" w:rsidRPr="00E47003">
        <w:rPr>
          <w:rFonts w:cs="Arial"/>
          <w:spacing w:val="61"/>
        </w:rPr>
        <w:t xml:space="preserve"> </w:t>
      </w:r>
      <w:r w:rsidR="005B509A" w:rsidRPr="00E47003">
        <w:rPr>
          <w:rFonts w:cs="Arial"/>
        </w:rPr>
        <w:t>July</w:t>
      </w:r>
      <w:r w:rsidR="005B509A" w:rsidRPr="00E47003">
        <w:rPr>
          <w:rFonts w:cs="Arial"/>
          <w:spacing w:val="61"/>
        </w:rPr>
        <w:t xml:space="preserve"> </w:t>
      </w:r>
      <w:r w:rsidR="005B509A" w:rsidRPr="00E47003">
        <w:rPr>
          <w:rFonts w:cs="Arial"/>
        </w:rPr>
        <w:t>1,</w:t>
      </w:r>
      <w:r w:rsidR="005B509A" w:rsidRPr="00E47003">
        <w:rPr>
          <w:rFonts w:cs="Arial"/>
          <w:spacing w:val="61"/>
        </w:rPr>
        <w:t xml:space="preserve"> </w:t>
      </w:r>
      <w:r w:rsidR="005B509A" w:rsidRPr="00E47003">
        <w:rPr>
          <w:rFonts w:cs="Arial"/>
        </w:rPr>
        <w:t>1992, however the</w:t>
      </w:r>
      <w:r w:rsidR="005B509A" w:rsidRPr="00E47003">
        <w:rPr>
          <w:rFonts w:cs="Arial"/>
          <w:spacing w:val="61"/>
        </w:rPr>
        <w:t xml:space="preserve"> </w:t>
      </w:r>
      <w:r w:rsidR="005B509A" w:rsidRPr="00E47003">
        <w:rPr>
          <w:rFonts w:cs="Arial"/>
        </w:rPr>
        <w:t>effective</w:t>
      </w:r>
      <w:r w:rsidR="005B509A" w:rsidRPr="00E47003">
        <w:rPr>
          <w:rFonts w:cs="Arial"/>
          <w:spacing w:val="61"/>
        </w:rPr>
        <w:t xml:space="preserve"> </w:t>
      </w:r>
      <w:r w:rsidR="005B509A" w:rsidRPr="00E47003">
        <w:rPr>
          <w:rFonts w:cs="Arial"/>
        </w:rPr>
        <w:t>date,</w:t>
      </w:r>
      <w:r w:rsidR="005B509A" w:rsidRPr="00E47003">
        <w:rPr>
          <w:rFonts w:cs="Arial"/>
          <w:spacing w:val="61"/>
        </w:rPr>
        <w:t xml:space="preserve"> </w:t>
      </w:r>
      <w:r w:rsidR="005B509A" w:rsidRPr="00E47003">
        <w:rPr>
          <w:rFonts w:cs="Arial"/>
        </w:rPr>
        <w:t>w</w:t>
      </w:r>
      <w:r w:rsidR="005B509A" w:rsidRPr="00E47003">
        <w:rPr>
          <w:rFonts w:cs="Arial"/>
          <w:spacing w:val="1"/>
        </w:rPr>
        <w:t>a</w:t>
      </w:r>
      <w:r w:rsidR="005B509A" w:rsidRPr="00E47003">
        <w:rPr>
          <w:rFonts w:cs="Arial"/>
        </w:rPr>
        <w:t>s deferred</w:t>
      </w:r>
      <w:r w:rsidR="005B509A" w:rsidRPr="00E47003">
        <w:rPr>
          <w:rFonts w:cs="Arial"/>
          <w:spacing w:val="32"/>
        </w:rPr>
        <w:t xml:space="preserve"> </w:t>
      </w:r>
      <w:r w:rsidR="005B509A" w:rsidRPr="00E47003">
        <w:rPr>
          <w:rFonts w:cs="Arial"/>
        </w:rPr>
        <w:t>until</w:t>
      </w:r>
      <w:r w:rsidR="005B509A" w:rsidRPr="00E47003">
        <w:rPr>
          <w:rFonts w:cs="Arial"/>
          <w:spacing w:val="32"/>
        </w:rPr>
        <w:t xml:space="preserve"> </w:t>
      </w:r>
      <w:r w:rsidR="005B509A" w:rsidRPr="00E47003">
        <w:rPr>
          <w:rFonts w:cs="Arial"/>
        </w:rPr>
        <w:t>July</w:t>
      </w:r>
      <w:r w:rsidR="005B509A" w:rsidRPr="00E47003">
        <w:rPr>
          <w:rFonts w:cs="Arial"/>
          <w:spacing w:val="32"/>
        </w:rPr>
        <w:t xml:space="preserve"> </w:t>
      </w:r>
      <w:r w:rsidR="005B509A" w:rsidRPr="00E47003">
        <w:rPr>
          <w:rFonts w:cs="Arial"/>
        </w:rPr>
        <w:t>1,</w:t>
      </w:r>
      <w:r w:rsidR="005B509A" w:rsidRPr="00E47003">
        <w:rPr>
          <w:rFonts w:cs="Arial"/>
          <w:spacing w:val="34"/>
        </w:rPr>
        <w:t xml:space="preserve"> </w:t>
      </w:r>
      <w:r w:rsidR="005B509A" w:rsidRPr="00E47003">
        <w:rPr>
          <w:rFonts w:cs="Arial"/>
        </w:rPr>
        <w:t>1994</w:t>
      </w:r>
      <w:r w:rsidR="005B509A" w:rsidRPr="00E47003">
        <w:rPr>
          <w:rFonts w:cs="Arial"/>
          <w:spacing w:val="32"/>
        </w:rPr>
        <w:t xml:space="preserve"> </w:t>
      </w:r>
      <w:r w:rsidR="005B509A" w:rsidRPr="00E47003">
        <w:rPr>
          <w:rFonts w:cs="Arial"/>
        </w:rPr>
        <w:t>by</w:t>
      </w:r>
      <w:r w:rsidR="005B509A" w:rsidRPr="00E47003">
        <w:rPr>
          <w:rFonts w:cs="Arial"/>
          <w:spacing w:val="32"/>
        </w:rPr>
        <w:t xml:space="preserve"> </w:t>
      </w:r>
      <w:r w:rsidR="005B509A" w:rsidRPr="00E47003">
        <w:rPr>
          <w:rFonts w:cs="Arial"/>
          <w:spacing w:val="2"/>
        </w:rPr>
        <w:t>t</w:t>
      </w:r>
      <w:r w:rsidR="005B509A" w:rsidRPr="00E47003">
        <w:rPr>
          <w:rFonts w:cs="Arial"/>
        </w:rPr>
        <w:t>he</w:t>
      </w:r>
      <w:r w:rsidR="005B509A" w:rsidRPr="00E47003">
        <w:rPr>
          <w:rFonts w:cs="Arial"/>
          <w:spacing w:val="32"/>
        </w:rPr>
        <w:t xml:space="preserve"> </w:t>
      </w:r>
      <w:r w:rsidR="005B509A" w:rsidRPr="00E47003">
        <w:rPr>
          <w:rFonts w:cs="Arial"/>
        </w:rPr>
        <w:t>1992</w:t>
      </w:r>
      <w:r w:rsidR="005B509A" w:rsidRPr="00E47003">
        <w:rPr>
          <w:rFonts w:cs="Arial"/>
          <w:spacing w:val="32"/>
        </w:rPr>
        <w:t xml:space="preserve"> </w:t>
      </w:r>
      <w:r w:rsidR="005B509A" w:rsidRPr="00E47003">
        <w:rPr>
          <w:rFonts w:cs="Arial"/>
          <w:spacing w:val="2"/>
        </w:rPr>
        <w:t>G</w:t>
      </w:r>
      <w:r w:rsidR="005B509A" w:rsidRPr="00E47003">
        <w:rPr>
          <w:rFonts w:cs="Arial"/>
        </w:rPr>
        <w:t>eneral</w:t>
      </w:r>
      <w:r w:rsidR="005B509A" w:rsidRPr="00E47003">
        <w:rPr>
          <w:rFonts w:cs="Arial"/>
          <w:spacing w:val="33"/>
        </w:rPr>
        <w:t xml:space="preserve"> </w:t>
      </w:r>
      <w:r w:rsidR="005B509A" w:rsidRPr="00E47003">
        <w:rPr>
          <w:rFonts w:cs="Arial"/>
        </w:rPr>
        <w:t>As</w:t>
      </w:r>
      <w:r w:rsidR="005B509A" w:rsidRPr="00E47003">
        <w:rPr>
          <w:rFonts w:cs="Arial"/>
          <w:spacing w:val="1"/>
        </w:rPr>
        <w:t>s</w:t>
      </w:r>
      <w:r w:rsidR="005B509A" w:rsidRPr="00E47003">
        <w:rPr>
          <w:rFonts w:cs="Arial"/>
        </w:rPr>
        <w:t>embly, and then again in 1996, from July 1, 1996 to July 1, 1998.</w:t>
      </w:r>
    </w:p>
    <w:p w:rsidR="005B509A" w:rsidRPr="00E47003" w:rsidRDefault="005B509A" w:rsidP="00065BF6">
      <w:pPr>
        <w:widowControl w:val="0"/>
        <w:autoSpaceDE w:val="0"/>
        <w:autoSpaceDN w:val="0"/>
        <w:adjustRightInd w:val="0"/>
        <w:spacing w:after="0"/>
        <w:rPr>
          <w:rFonts w:cs="Arial"/>
        </w:rPr>
      </w:pPr>
    </w:p>
    <w:p w:rsidR="005B509A" w:rsidRPr="00E47003" w:rsidRDefault="005B509A" w:rsidP="00065BF6">
      <w:pPr>
        <w:widowControl w:val="0"/>
        <w:autoSpaceDE w:val="0"/>
        <w:autoSpaceDN w:val="0"/>
        <w:adjustRightInd w:val="0"/>
        <w:spacing w:after="0"/>
        <w:jc w:val="both"/>
        <w:rPr>
          <w:rFonts w:cs="Arial"/>
        </w:rPr>
      </w:pPr>
      <w:r w:rsidRPr="00065BF6">
        <w:rPr>
          <w:rFonts w:cs="Arial"/>
          <w:u w:val="single"/>
        </w:rPr>
        <w:t>1999</w:t>
      </w:r>
      <w:r w:rsidR="00065BF6" w:rsidRPr="00065BF6">
        <w:rPr>
          <w:rFonts w:cs="Arial"/>
          <w:spacing w:val="67"/>
          <w:u w:val="single"/>
        </w:rPr>
        <w:t>:</w:t>
      </w:r>
      <w:r w:rsidR="00065BF6">
        <w:rPr>
          <w:rFonts w:cs="Arial"/>
          <w:spacing w:val="67"/>
        </w:rPr>
        <w:t xml:space="preserve"> </w:t>
      </w:r>
      <w:r w:rsidRPr="00E47003">
        <w:rPr>
          <w:rFonts w:cs="Arial"/>
        </w:rPr>
        <w:t>The</w:t>
      </w:r>
      <w:r w:rsidRPr="00E47003">
        <w:rPr>
          <w:rFonts w:cs="Arial"/>
          <w:spacing w:val="67"/>
        </w:rPr>
        <w:t xml:space="preserve"> </w:t>
      </w:r>
      <w:r w:rsidRPr="00E47003">
        <w:rPr>
          <w:rFonts w:cs="Arial"/>
        </w:rPr>
        <w:t>exemption  was  expanded  to  inclu</w:t>
      </w:r>
      <w:r w:rsidRPr="00E47003">
        <w:rPr>
          <w:rFonts w:cs="Arial"/>
          <w:spacing w:val="2"/>
        </w:rPr>
        <w:t>d</w:t>
      </w:r>
      <w:r w:rsidRPr="00E47003">
        <w:rPr>
          <w:rFonts w:cs="Arial"/>
        </w:rPr>
        <w:t>e  eyeglass  cases  and  contact  le</w:t>
      </w:r>
      <w:r w:rsidRPr="00E47003">
        <w:rPr>
          <w:rFonts w:cs="Arial"/>
          <w:spacing w:val="1"/>
        </w:rPr>
        <w:t>n</w:t>
      </w:r>
      <w:r w:rsidRPr="00E47003">
        <w:rPr>
          <w:rFonts w:cs="Arial"/>
        </w:rPr>
        <w:t xml:space="preserve">s storage </w:t>
      </w:r>
      <w:r w:rsidRPr="00E47003">
        <w:rPr>
          <w:rFonts w:cs="Arial"/>
          <w:spacing w:val="49"/>
        </w:rPr>
        <w:t xml:space="preserve"> </w:t>
      </w:r>
      <w:r w:rsidRPr="00E47003">
        <w:rPr>
          <w:rFonts w:cs="Arial"/>
        </w:rPr>
        <w:t xml:space="preserve">containers, </w:t>
      </w:r>
      <w:r w:rsidRPr="00E47003">
        <w:rPr>
          <w:rFonts w:cs="Arial"/>
          <w:spacing w:val="49"/>
        </w:rPr>
        <w:t xml:space="preserve"> </w:t>
      </w:r>
      <w:r w:rsidRPr="00E47003">
        <w:rPr>
          <w:rFonts w:cs="Arial"/>
        </w:rPr>
        <w:t xml:space="preserve">solutions </w:t>
      </w:r>
      <w:r w:rsidRPr="00E47003">
        <w:rPr>
          <w:rFonts w:cs="Arial"/>
          <w:spacing w:val="51"/>
        </w:rPr>
        <w:t xml:space="preserve"> </w:t>
      </w:r>
      <w:r w:rsidRPr="00E47003">
        <w:rPr>
          <w:rFonts w:cs="Arial"/>
        </w:rPr>
        <w:t xml:space="preserve">or </w:t>
      </w:r>
      <w:r w:rsidRPr="00E47003">
        <w:rPr>
          <w:rFonts w:cs="Arial"/>
          <w:spacing w:val="49"/>
        </w:rPr>
        <w:t xml:space="preserve"> </w:t>
      </w:r>
      <w:r w:rsidRPr="00E47003">
        <w:rPr>
          <w:rFonts w:cs="Arial"/>
        </w:rPr>
        <w:t xml:space="preserve">sterilization </w:t>
      </w:r>
      <w:r w:rsidRPr="00E47003">
        <w:rPr>
          <w:rFonts w:cs="Arial"/>
          <w:spacing w:val="49"/>
        </w:rPr>
        <w:t xml:space="preserve"> </w:t>
      </w:r>
      <w:r w:rsidRPr="00E47003">
        <w:rPr>
          <w:rFonts w:cs="Arial"/>
        </w:rPr>
        <w:t xml:space="preserve">kits </w:t>
      </w:r>
      <w:r w:rsidRPr="00E47003">
        <w:rPr>
          <w:rFonts w:cs="Arial"/>
          <w:spacing w:val="50"/>
        </w:rPr>
        <w:t xml:space="preserve"> </w:t>
      </w:r>
      <w:r w:rsidRPr="00E47003">
        <w:rPr>
          <w:rFonts w:cs="Arial"/>
        </w:rPr>
        <w:t xml:space="preserve">or </w:t>
      </w:r>
      <w:r w:rsidRPr="00E47003">
        <w:rPr>
          <w:rFonts w:cs="Arial"/>
          <w:spacing w:val="49"/>
        </w:rPr>
        <w:t xml:space="preserve"> </w:t>
      </w:r>
      <w:r w:rsidRPr="00E47003">
        <w:rPr>
          <w:rFonts w:cs="Arial"/>
        </w:rPr>
        <w:t>o</w:t>
      </w:r>
      <w:r w:rsidRPr="00E47003">
        <w:rPr>
          <w:rFonts w:cs="Arial"/>
          <w:spacing w:val="1"/>
        </w:rPr>
        <w:t>t</w:t>
      </w:r>
      <w:r w:rsidRPr="00E47003">
        <w:rPr>
          <w:rFonts w:cs="Arial"/>
        </w:rPr>
        <w:t xml:space="preserve">her </w:t>
      </w:r>
      <w:r w:rsidRPr="00E47003">
        <w:rPr>
          <w:rFonts w:cs="Arial"/>
          <w:spacing w:val="49"/>
        </w:rPr>
        <w:t xml:space="preserve"> </w:t>
      </w:r>
      <w:r w:rsidRPr="00E47003">
        <w:rPr>
          <w:rFonts w:cs="Arial"/>
        </w:rPr>
        <w:t xml:space="preserve">similar </w:t>
      </w:r>
      <w:r w:rsidRPr="00E47003">
        <w:rPr>
          <w:rFonts w:cs="Arial"/>
          <w:spacing w:val="49"/>
        </w:rPr>
        <w:t xml:space="preserve"> </w:t>
      </w:r>
      <w:r w:rsidRPr="00E47003">
        <w:rPr>
          <w:rFonts w:cs="Arial"/>
          <w:spacing w:val="1"/>
        </w:rPr>
        <w:t>d</w:t>
      </w:r>
      <w:r w:rsidRPr="00E47003">
        <w:rPr>
          <w:rFonts w:cs="Arial"/>
        </w:rPr>
        <w:t xml:space="preserve">evices </w:t>
      </w:r>
      <w:r w:rsidRPr="00E47003">
        <w:rPr>
          <w:rFonts w:cs="Arial"/>
          <w:spacing w:val="49"/>
        </w:rPr>
        <w:t xml:space="preserve"> </w:t>
      </w:r>
      <w:r w:rsidRPr="00E47003">
        <w:rPr>
          <w:rFonts w:cs="Arial"/>
        </w:rPr>
        <w:t>w</w:t>
      </w:r>
      <w:r w:rsidRPr="00E47003">
        <w:rPr>
          <w:rFonts w:cs="Arial"/>
          <w:spacing w:val="1"/>
        </w:rPr>
        <w:t>h</w:t>
      </w:r>
      <w:r w:rsidRPr="00E47003">
        <w:rPr>
          <w:rFonts w:cs="Arial"/>
        </w:rPr>
        <w:t>en distributed</w:t>
      </w:r>
      <w:r w:rsidRPr="00E47003">
        <w:rPr>
          <w:rFonts w:cs="Arial"/>
          <w:spacing w:val="16"/>
        </w:rPr>
        <w:t xml:space="preserve"> </w:t>
      </w:r>
      <w:r w:rsidRPr="00E47003">
        <w:rPr>
          <w:rFonts w:cs="Arial"/>
        </w:rPr>
        <w:t>free</w:t>
      </w:r>
      <w:r w:rsidRPr="00E47003">
        <w:rPr>
          <w:rFonts w:cs="Arial"/>
          <w:spacing w:val="16"/>
        </w:rPr>
        <w:t xml:space="preserve"> </w:t>
      </w:r>
      <w:r w:rsidRPr="00E47003">
        <w:rPr>
          <w:rFonts w:cs="Arial"/>
        </w:rPr>
        <w:t>of</w:t>
      </w:r>
      <w:r w:rsidRPr="00E47003">
        <w:rPr>
          <w:rFonts w:cs="Arial"/>
          <w:spacing w:val="16"/>
        </w:rPr>
        <w:t xml:space="preserve"> </w:t>
      </w:r>
      <w:r w:rsidRPr="00E47003">
        <w:rPr>
          <w:rFonts w:cs="Arial"/>
        </w:rPr>
        <w:t>charge</w:t>
      </w:r>
      <w:r w:rsidRPr="00E47003">
        <w:rPr>
          <w:rFonts w:cs="Arial"/>
          <w:spacing w:val="16"/>
        </w:rPr>
        <w:t xml:space="preserve"> </w:t>
      </w:r>
      <w:r w:rsidRPr="00E47003">
        <w:rPr>
          <w:rFonts w:cs="Arial"/>
        </w:rPr>
        <w:t>by</w:t>
      </w:r>
      <w:r w:rsidRPr="00E47003">
        <w:rPr>
          <w:rFonts w:cs="Arial"/>
          <w:spacing w:val="16"/>
        </w:rPr>
        <w:t xml:space="preserve"> </w:t>
      </w:r>
      <w:r w:rsidRPr="00E47003">
        <w:rPr>
          <w:rFonts w:cs="Arial"/>
        </w:rPr>
        <w:t>op</w:t>
      </w:r>
      <w:r w:rsidRPr="00E47003">
        <w:rPr>
          <w:rFonts w:cs="Arial"/>
          <w:spacing w:val="3"/>
        </w:rPr>
        <w:t>t</w:t>
      </w:r>
      <w:r w:rsidRPr="00E47003">
        <w:rPr>
          <w:rFonts w:cs="Arial"/>
        </w:rPr>
        <w:t>ometrists,</w:t>
      </w:r>
      <w:r w:rsidRPr="00E47003">
        <w:rPr>
          <w:rFonts w:cs="Arial"/>
          <w:spacing w:val="16"/>
        </w:rPr>
        <w:t xml:space="preserve"> </w:t>
      </w:r>
      <w:r w:rsidRPr="00E47003">
        <w:rPr>
          <w:rFonts w:cs="Arial"/>
        </w:rPr>
        <w:t>ophthalmologists,</w:t>
      </w:r>
      <w:r w:rsidRPr="00E47003">
        <w:rPr>
          <w:rFonts w:cs="Arial"/>
          <w:spacing w:val="16"/>
        </w:rPr>
        <w:t xml:space="preserve"> </w:t>
      </w:r>
      <w:r w:rsidRPr="00E47003">
        <w:rPr>
          <w:rFonts w:cs="Arial"/>
        </w:rPr>
        <w:t>and</w:t>
      </w:r>
      <w:r w:rsidRPr="00E47003">
        <w:rPr>
          <w:rFonts w:cs="Arial"/>
          <w:spacing w:val="18"/>
        </w:rPr>
        <w:t xml:space="preserve"> </w:t>
      </w:r>
      <w:r w:rsidRPr="00E47003">
        <w:rPr>
          <w:rFonts w:cs="Arial"/>
        </w:rPr>
        <w:t xml:space="preserve">opticians. </w:t>
      </w:r>
      <w:r w:rsidRPr="00E47003">
        <w:rPr>
          <w:rFonts w:cs="Arial"/>
          <w:spacing w:val="33"/>
        </w:rPr>
        <w:t xml:space="preserve"> </w:t>
      </w:r>
      <w:r w:rsidRPr="00E47003">
        <w:rPr>
          <w:rFonts w:cs="Arial"/>
        </w:rPr>
        <w:t>As</w:t>
      </w:r>
      <w:r w:rsidRPr="00E47003">
        <w:rPr>
          <w:rFonts w:cs="Arial"/>
          <w:spacing w:val="16"/>
        </w:rPr>
        <w:t xml:space="preserve"> </w:t>
      </w:r>
      <w:r w:rsidRPr="00E47003">
        <w:rPr>
          <w:rFonts w:cs="Arial"/>
        </w:rPr>
        <w:t>a</w:t>
      </w:r>
      <w:r w:rsidRPr="00E47003">
        <w:rPr>
          <w:rFonts w:cs="Arial"/>
          <w:spacing w:val="16"/>
        </w:rPr>
        <w:t xml:space="preserve"> </w:t>
      </w:r>
      <w:r w:rsidRPr="00E47003">
        <w:rPr>
          <w:rFonts w:cs="Arial"/>
        </w:rPr>
        <w:t>result of</w:t>
      </w:r>
      <w:r w:rsidRPr="00E47003">
        <w:rPr>
          <w:rFonts w:cs="Arial"/>
          <w:spacing w:val="18"/>
        </w:rPr>
        <w:t xml:space="preserve"> </w:t>
      </w:r>
      <w:r w:rsidRPr="00E47003">
        <w:rPr>
          <w:rFonts w:cs="Arial"/>
        </w:rPr>
        <w:t>a</w:t>
      </w:r>
      <w:r w:rsidRPr="00E47003">
        <w:rPr>
          <w:rFonts w:cs="Arial"/>
          <w:spacing w:val="18"/>
        </w:rPr>
        <w:t xml:space="preserve"> </w:t>
      </w:r>
      <w:r w:rsidRPr="00E47003">
        <w:rPr>
          <w:rFonts w:cs="Arial"/>
        </w:rPr>
        <w:t>legi</w:t>
      </w:r>
      <w:r w:rsidRPr="00E47003">
        <w:rPr>
          <w:rFonts w:cs="Arial"/>
          <w:spacing w:val="1"/>
        </w:rPr>
        <w:t>s</w:t>
      </w:r>
      <w:r w:rsidRPr="00E47003">
        <w:rPr>
          <w:rFonts w:cs="Arial"/>
          <w:spacing w:val="-1"/>
        </w:rPr>
        <w:t>l</w:t>
      </w:r>
      <w:r w:rsidRPr="00E47003">
        <w:rPr>
          <w:rFonts w:cs="Arial"/>
        </w:rPr>
        <w:t>ative</w:t>
      </w:r>
      <w:r w:rsidRPr="00E47003">
        <w:rPr>
          <w:rFonts w:cs="Arial"/>
          <w:spacing w:val="18"/>
        </w:rPr>
        <w:t xml:space="preserve"> </w:t>
      </w:r>
      <w:r w:rsidRPr="00E47003">
        <w:rPr>
          <w:rFonts w:cs="Arial"/>
        </w:rPr>
        <w:t>change,</w:t>
      </w:r>
      <w:r w:rsidRPr="00E47003">
        <w:rPr>
          <w:rFonts w:cs="Arial"/>
          <w:spacing w:val="18"/>
        </w:rPr>
        <w:t xml:space="preserve"> </w:t>
      </w:r>
      <w:r w:rsidRPr="00E47003">
        <w:rPr>
          <w:rFonts w:cs="Arial"/>
        </w:rPr>
        <w:t>the</w:t>
      </w:r>
      <w:r w:rsidRPr="00E47003">
        <w:rPr>
          <w:rFonts w:cs="Arial"/>
          <w:spacing w:val="18"/>
        </w:rPr>
        <w:t xml:space="preserve"> </w:t>
      </w:r>
      <w:r w:rsidRPr="00E47003">
        <w:rPr>
          <w:rFonts w:cs="Arial"/>
        </w:rPr>
        <w:t>exemption</w:t>
      </w:r>
      <w:r w:rsidRPr="00E47003">
        <w:rPr>
          <w:rFonts w:cs="Arial"/>
          <w:spacing w:val="18"/>
        </w:rPr>
        <w:t xml:space="preserve"> </w:t>
      </w:r>
      <w:r w:rsidRPr="00E47003">
        <w:rPr>
          <w:rFonts w:cs="Arial"/>
        </w:rPr>
        <w:t>av</w:t>
      </w:r>
      <w:r w:rsidRPr="00E47003">
        <w:rPr>
          <w:rFonts w:cs="Arial"/>
          <w:spacing w:val="2"/>
        </w:rPr>
        <w:t>a</w:t>
      </w:r>
      <w:r w:rsidRPr="00E47003">
        <w:rPr>
          <w:rFonts w:cs="Arial"/>
        </w:rPr>
        <w:t>ilable</w:t>
      </w:r>
      <w:r w:rsidRPr="00E47003">
        <w:rPr>
          <w:rFonts w:cs="Arial"/>
          <w:spacing w:val="18"/>
        </w:rPr>
        <w:t xml:space="preserve"> </w:t>
      </w:r>
      <w:r w:rsidRPr="00E47003">
        <w:rPr>
          <w:rFonts w:cs="Arial"/>
        </w:rPr>
        <w:t>for</w:t>
      </w:r>
      <w:r w:rsidRPr="00E47003">
        <w:rPr>
          <w:rFonts w:cs="Arial"/>
          <w:spacing w:val="18"/>
        </w:rPr>
        <w:t xml:space="preserve"> </w:t>
      </w:r>
      <w:r w:rsidRPr="00E47003">
        <w:rPr>
          <w:rFonts w:cs="Arial"/>
        </w:rPr>
        <w:t>controlled</w:t>
      </w:r>
      <w:r w:rsidRPr="00E47003">
        <w:rPr>
          <w:rFonts w:cs="Arial"/>
          <w:spacing w:val="18"/>
        </w:rPr>
        <w:t xml:space="preserve"> </w:t>
      </w:r>
      <w:r w:rsidRPr="00E47003">
        <w:rPr>
          <w:rFonts w:cs="Arial"/>
        </w:rPr>
        <w:t>d</w:t>
      </w:r>
      <w:r w:rsidRPr="00E47003">
        <w:rPr>
          <w:rFonts w:cs="Arial"/>
          <w:spacing w:val="2"/>
        </w:rPr>
        <w:t>r</w:t>
      </w:r>
      <w:r w:rsidRPr="00E47003">
        <w:rPr>
          <w:rFonts w:cs="Arial"/>
        </w:rPr>
        <w:t>ugs</w:t>
      </w:r>
      <w:r w:rsidRPr="00E47003">
        <w:rPr>
          <w:rFonts w:cs="Arial"/>
          <w:spacing w:val="18"/>
        </w:rPr>
        <w:t xml:space="preserve"> </w:t>
      </w:r>
      <w:r w:rsidRPr="00E47003">
        <w:rPr>
          <w:rFonts w:cs="Arial"/>
        </w:rPr>
        <w:t>purchased</w:t>
      </w:r>
      <w:r w:rsidRPr="00E47003">
        <w:rPr>
          <w:rFonts w:cs="Arial"/>
          <w:spacing w:val="18"/>
        </w:rPr>
        <w:t xml:space="preserve"> </w:t>
      </w:r>
      <w:r w:rsidRPr="00E47003">
        <w:rPr>
          <w:rFonts w:cs="Arial"/>
        </w:rPr>
        <w:t>for</w:t>
      </w:r>
      <w:r w:rsidRPr="00E47003">
        <w:rPr>
          <w:rFonts w:cs="Arial"/>
          <w:spacing w:val="18"/>
        </w:rPr>
        <w:t xml:space="preserve"> </w:t>
      </w:r>
      <w:r w:rsidRPr="00E47003">
        <w:rPr>
          <w:rFonts w:cs="Arial"/>
        </w:rPr>
        <w:t>use by a licensed phy</w:t>
      </w:r>
      <w:r w:rsidRPr="00E47003">
        <w:rPr>
          <w:rFonts w:cs="Arial"/>
          <w:spacing w:val="1"/>
        </w:rPr>
        <w:t>s</w:t>
      </w:r>
      <w:r w:rsidRPr="00E47003">
        <w:rPr>
          <w:rFonts w:cs="Arial"/>
          <w:spacing w:val="-1"/>
        </w:rPr>
        <w:t>i</w:t>
      </w:r>
      <w:r w:rsidRPr="00E47003">
        <w:rPr>
          <w:rFonts w:cs="Arial"/>
        </w:rPr>
        <w:t>cian was</w:t>
      </w:r>
      <w:r w:rsidRPr="00E47003">
        <w:rPr>
          <w:rFonts w:cs="Arial"/>
          <w:spacing w:val="1"/>
        </w:rPr>
        <w:t xml:space="preserve"> </w:t>
      </w:r>
      <w:r w:rsidRPr="00E47003">
        <w:rPr>
          <w:rFonts w:cs="Arial"/>
        </w:rPr>
        <w:t>expanded to</w:t>
      </w:r>
      <w:r w:rsidRPr="00E47003">
        <w:rPr>
          <w:rFonts w:cs="Arial"/>
          <w:spacing w:val="1"/>
        </w:rPr>
        <w:t xml:space="preserve"> </w:t>
      </w:r>
      <w:r w:rsidRPr="00E47003">
        <w:rPr>
          <w:rFonts w:cs="Arial"/>
        </w:rPr>
        <w:t>include optometrists, licensed nu</w:t>
      </w:r>
      <w:r w:rsidRPr="00E47003">
        <w:rPr>
          <w:rFonts w:cs="Arial"/>
          <w:spacing w:val="2"/>
        </w:rPr>
        <w:t>r</w:t>
      </w:r>
      <w:r w:rsidRPr="00E47003">
        <w:rPr>
          <w:rFonts w:cs="Arial"/>
        </w:rPr>
        <w:t>se practitioners,</w:t>
      </w:r>
      <w:r w:rsidRPr="00E47003">
        <w:rPr>
          <w:rFonts w:cs="Arial"/>
          <w:spacing w:val="17"/>
        </w:rPr>
        <w:t xml:space="preserve"> </w:t>
      </w:r>
      <w:r w:rsidRPr="00E47003">
        <w:rPr>
          <w:rFonts w:cs="Arial"/>
        </w:rPr>
        <w:t>and</w:t>
      </w:r>
      <w:r w:rsidRPr="00E47003">
        <w:rPr>
          <w:rFonts w:cs="Arial"/>
          <w:spacing w:val="17"/>
        </w:rPr>
        <w:t xml:space="preserve"> </w:t>
      </w:r>
      <w:r w:rsidRPr="00E47003">
        <w:rPr>
          <w:rFonts w:cs="Arial"/>
        </w:rPr>
        <w:t>licensed</w:t>
      </w:r>
      <w:r w:rsidRPr="00E47003">
        <w:rPr>
          <w:rFonts w:cs="Arial"/>
          <w:spacing w:val="17"/>
        </w:rPr>
        <w:t xml:space="preserve"> </w:t>
      </w:r>
      <w:r w:rsidRPr="00E47003">
        <w:rPr>
          <w:rFonts w:cs="Arial"/>
        </w:rPr>
        <w:t>phy</w:t>
      </w:r>
      <w:r w:rsidRPr="00E47003">
        <w:rPr>
          <w:rFonts w:cs="Arial"/>
          <w:spacing w:val="1"/>
        </w:rPr>
        <w:t>si</w:t>
      </w:r>
      <w:r w:rsidRPr="00E47003">
        <w:rPr>
          <w:rFonts w:cs="Arial"/>
        </w:rPr>
        <w:t>cian</w:t>
      </w:r>
      <w:r w:rsidRPr="00E47003">
        <w:rPr>
          <w:rFonts w:cs="Arial"/>
          <w:spacing w:val="17"/>
        </w:rPr>
        <w:t xml:space="preserve"> </w:t>
      </w:r>
      <w:r w:rsidRPr="00E47003">
        <w:rPr>
          <w:rFonts w:cs="Arial"/>
        </w:rPr>
        <w:t>as</w:t>
      </w:r>
      <w:r w:rsidRPr="00E47003">
        <w:rPr>
          <w:rFonts w:cs="Arial"/>
          <w:spacing w:val="1"/>
        </w:rPr>
        <w:t>s</w:t>
      </w:r>
      <w:r w:rsidRPr="00E47003">
        <w:rPr>
          <w:rFonts w:cs="Arial"/>
          <w:spacing w:val="-1"/>
        </w:rPr>
        <w:t>i</w:t>
      </w:r>
      <w:r w:rsidRPr="00E47003">
        <w:rPr>
          <w:rFonts w:cs="Arial"/>
        </w:rPr>
        <w:t xml:space="preserve">stants. </w:t>
      </w:r>
      <w:r w:rsidRPr="00E47003">
        <w:rPr>
          <w:rFonts w:cs="Arial"/>
          <w:spacing w:val="38"/>
        </w:rPr>
        <w:t xml:space="preserve"> </w:t>
      </w:r>
      <w:r w:rsidRPr="00E47003">
        <w:rPr>
          <w:rFonts w:cs="Arial"/>
        </w:rPr>
        <w:t>The</w:t>
      </w:r>
      <w:r w:rsidRPr="00E47003">
        <w:rPr>
          <w:rFonts w:cs="Arial"/>
          <w:spacing w:val="18"/>
        </w:rPr>
        <w:t xml:space="preserve"> </w:t>
      </w:r>
      <w:r w:rsidRPr="00E47003">
        <w:rPr>
          <w:rFonts w:cs="Arial"/>
        </w:rPr>
        <w:t>exemption</w:t>
      </w:r>
      <w:r w:rsidRPr="00E47003">
        <w:rPr>
          <w:rFonts w:cs="Arial"/>
          <w:spacing w:val="18"/>
        </w:rPr>
        <w:t xml:space="preserve"> </w:t>
      </w:r>
      <w:r w:rsidRPr="00E47003">
        <w:rPr>
          <w:rFonts w:cs="Arial"/>
        </w:rPr>
        <w:t>was</w:t>
      </w:r>
      <w:r w:rsidRPr="00E47003">
        <w:rPr>
          <w:rFonts w:cs="Arial"/>
          <w:spacing w:val="17"/>
        </w:rPr>
        <w:t xml:space="preserve"> </w:t>
      </w:r>
      <w:r w:rsidRPr="00E47003">
        <w:rPr>
          <w:rFonts w:cs="Arial"/>
        </w:rPr>
        <w:t>also</w:t>
      </w:r>
      <w:r w:rsidRPr="00E47003">
        <w:rPr>
          <w:rFonts w:cs="Arial"/>
          <w:spacing w:val="17"/>
        </w:rPr>
        <w:t xml:space="preserve"> </w:t>
      </w:r>
      <w:r w:rsidRPr="00E47003">
        <w:rPr>
          <w:rFonts w:cs="Arial"/>
        </w:rPr>
        <w:t>expanded</w:t>
      </w:r>
      <w:r w:rsidRPr="00E47003">
        <w:rPr>
          <w:rFonts w:cs="Arial"/>
          <w:spacing w:val="17"/>
        </w:rPr>
        <w:t xml:space="preserve"> </w:t>
      </w:r>
      <w:r w:rsidRPr="00E47003">
        <w:rPr>
          <w:rFonts w:cs="Arial"/>
          <w:spacing w:val="2"/>
        </w:rPr>
        <w:t>t</w:t>
      </w:r>
      <w:r w:rsidRPr="00E47003">
        <w:rPr>
          <w:rFonts w:cs="Arial"/>
        </w:rPr>
        <w:t>o include medicines and drugs purchased for use by a licensed hospi</w:t>
      </w:r>
      <w:r w:rsidRPr="00E47003">
        <w:rPr>
          <w:rFonts w:cs="Arial"/>
          <w:spacing w:val="2"/>
        </w:rPr>
        <w:t>t</w:t>
      </w:r>
      <w:r w:rsidRPr="00E47003">
        <w:rPr>
          <w:rFonts w:cs="Arial"/>
        </w:rPr>
        <w:t>al.</w:t>
      </w:r>
    </w:p>
    <w:p w:rsidR="005B509A" w:rsidRPr="00E47003" w:rsidRDefault="005B509A" w:rsidP="00065BF6">
      <w:pPr>
        <w:widowControl w:val="0"/>
        <w:autoSpaceDE w:val="0"/>
        <w:autoSpaceDN w:val="0"/>
        <w:adjustRightInd w:val="0"/>
        <w:spacing w:after="0"/>
        <w:jc w:val="both"/>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2004:</w:t>
      </w:r>
      <w:r>
        <w:rPr>
          <w:rFonts w:cs="Arial"/>
        </w:rPr>
        <w:t xml:space="preserve"> </w:t>
      </w:r>
      <w:r w:rsidR="005B509A" w:rsidRPr="00E47003">
        <w:rPr>
          <w:rFonts w:cs="Arial"/>
        </w:rPr>
        <w:t xml:space="preserve">Enactment of the exemption for medical products and supplies, which are otherwise taxable, when purchased by a Medicaid recipient through a Department of Medical Assistance Services provider </w:t>
      </w:r>
      <w:r w:rsidR="005B509A" w:rsidRPr="00E47003">
        <w:rPr>
          <w:rFonts w:cs="Arial"/>
        </w:rPr>
        <w:lastRenderedPageBreak/>
        <w:t>agreement</w:t>
      </w:r>
    </w:p>
    <w:p w:rsidR="005B509A" w:rsidRPr="00E47003" w:rsidRDefault="005B509A" w:rsidP="00065BF6">
      <w:pPr>
        <w:widowControl w:val="0"/>
        <w:autoSpaceDE w:val="0"/>
        <w:autoSpaceDN w:val="0"/>
        <w:adjustRightInd w:val="0"/>
        <w:spacing w:after="0"/>
        <w:rPr>
          <w:rFonts w:cs="Arial"/>
        </w:rPr>
      </w:pPr>
    </w:p>
    <w:p w:rsidR="005B509A" w:rsidRPr="00E47003" w:rsidRDefault="00065BF6" w:rsidP="00065BF6">
      <w:pPr>
        <w:widowControl w:val="0"/>
        <w:autoSpaceDE w:val="0"/>
        <w:autoSpaceDN w:val="0"/>
        <w:adjustRightInd w:val="0"/>
        <w:spacing w:after="0"/>
        <w:jc w:val="both"/>
        <w:rPr>
          <w:rFonts w:cs="Arial"/>
        </w:rPr>
      </w:pPr>
      <w:r w:rsidRPr="00065BF6">
        <w:rPr>
          <w:rFonts w:cs="Arial"/>
          <w:u w:val="single"/>
        </w:rPr>
        <w:t xml:space="preserve">2006: </w:t>
      </w:r>
      <w:r w:rsidR="005B509A" w:rsidRPr="00E47003">
        <w:rPr>
          <w:rFonts w:cs="Arial"/>
        </w:rPr>
        <w:t>The exemption was expanded to inc</w:t>
      </w:r>
      <w:r w:rsidR="005B509A" w:rsidRPr="00E47003">
        <w:rPr>
          <w:rFonts w:cs="Arial"/>
          <w:spacing w:val="-1"/>
        </w:rPr>
        <w:t>l</w:t>
      </w:r>
      <w:r w:rsidR="005B509A" w:rsidRPr="00E47003">
        <w:rPr>
          <w:rFonts w:cs="Arial"/>
        </w:rPr>
        <w:t>ude medi</w:t>
      </w:r>
      <w:r w:rsidR="005B509A" w:rsidRPr="00E47003">
        <w:rPr>
          <w:rFonts w:cs="Arial"/>
          <w:spacing w:val="1"/>
        </w:rPr>
        <w:t>c</w:t>
      </w:r>
      <w:r w:rsidR="005B509A" w:rsidRPr="00E47003">
        <w:rPr>
          <w:rFonts w:cs="Arial"/>
          <w:spacing w:val="-1"/>
        </w:rPr>
        <w:t>i</w:t>
      </w:r>
      <w:r w:rsidR="005B509A" w:rsidRPr="00E47003">
        <w:rPr>
          <w:rFonts w:cs="Arial"/>
        </w:rPr>
        <w:t xml:space="preserve">nes and drugs purchased by a veterinarian,  provided  the  items  are  used </w:t>
      </w:r>
      <w:r w:rsidR="005B509A" w:rsidRPr="00E47003">
        <w:rPr>
          <w:rFonts w:cs="Arial"/>
          <w:spacing w:val="1"/>
        </w:rPr>
        <w:t xml:space="preserve"> </w:t>
      </w:r>
      <w:r w:rsidR="005B509A" w:rsidRPr="00E47003">
        <w:rPr>
          <w:rFonts w:cs="Arial"/>
        </w:rPr>
        <w:t xml:space="preserve">or  consumed  directly  in  </w:t>
      </w:r>
      <w:r w:rsidR="005B509A" w:rsidRPr="00E47003">
        <w:rPr>
          <w:rFonts w:cs="Arial"/>
          <w:spacing w:val="2"/>
        </w:rPr>
        <w:t>t</w:t>
      </w:r>
      <w:r w:rsidR="005B509A" w:rsidRPr="00E47003">
        <w:rPr>
          <w:rFonts w:cs="Arial"/>
        </w:rPr>
        <w:t>he  care  and treatment of agricultural production animals.</w:t>
      </w:r>
    </w:p>
    <w:p w:rsidR="005B509A" w:rsidRPr="00E47003" w:rsidRDefault="005B509A" w:rsidP="00065BF6">
      <w:pPr>
        <w:widowControl w:val="0"/>
        <w:autoSpaceDE w:val="0"/>
        <w:autoSpaceDN w:val="0"/>
        <w:adjustRightInd w:val="0"/>
        <w:spacing w:after="0"/>
        <w:rPr>
          <w:rFonts w:cs="Arial"/>
        </w:rPr>
      </w:pPr>
    </w:p>
    <w:p w:rsidR="00E03BB3" w:rsidRPr="001264D7" w:rsidRDefault="00E03BB3" w:rsidP="00065BF6">
      <w:pPr>
        <w:spacing w:after="0"/>
        <w:rPr>
          <w:rFonts w:ascii="Arial" w:hAnsi="Arial" w:cs="Arial"/>
          <w:b/>
          <w:sz w:val="24"/>
          <w:szCs w:val="24"/>
        </w:rPr>
      </w:pPr>
    </w:p>
    <w:p w:rsidR="00E03BB3" w:rsidRPr="001264D7" w:rsidRDefault="00E03BB3" w:rsidP="00065BF6">
      <w:pPr>
        <w:spacing w:after="0"/>
        <w:rPr>
          <w:rFonts w:ascii="Arial" w:hAnsi="Arial" w:cs="Arial"/>
          <w:sz w:val="24"/>
          <w:szCs w:val="24"/>
        </w:rPr>
      </w:pPr>
    </w:p>
    <w:p w:rsidR="00CC336E" w:rsidRPr="00065BF6" w:rsidRDefault="00CC336E" w:rsidP="00CC336E">
      <w:pPr>
        <w:pBdr>
          <w:bottom w:val="single" w:sz="18" w:space="1" w:color="17365D" w:themeColor="text2" w:themeShade="BF"/>
        </w:pBdr>
        <w:jc w:val="right"/>
        <w:rPr>
          <w:color w:val="17365D" w:themeColor="text2" w:themeShade="BF"/>
          <w:sz w:val="36"/>
          <w:szCs w:val="36"/>
        </w:rPr>
      </w:pPr>
      <w:r w:rsidRPr="00065BF6">
        <w:rPr>
          <w:color w:val="17365D" w:themeColor="text2" w:themeShade="BF"/>
          <w:sz w:val="36"/>
          <w:szCs w:val="36"/>
        </w:rPr>
        <w:t>Revenue Impact</w:t>
      </w:r>
    </w:p>
    <w:p w:rsidR="00CE792B" w:rsidRDefault="00CE792B" w:rsidP="00CE792B">
      <w:pPr>
        <w:rPr>
          <w:rFonts w:eastAsia="Calibri" w:cs="Arial"/>
          <w:b/>
        </w:rPr>
      </w:pPr>
    </w:p>
    <w:p w:rsidR="005B509A" w:rsidRPr="00065BF6" w:rsidRDefault="005B509A" w:rsidP="00065BF6">
      <w:pPr>
        <w:rPr>
          <w:rFonts w:eastAsia="Calibri" w:cs="Arial"/>
          <w:b/>
        </w:rPr>
      </w:pPr>
      <w:r w:rsidRPr="00065BF6">
        <w:rPr>
          <w:rFonts w:eastAsia="Calibri" w:cs="Arial"/>
          <w:b/>
        </w:rPr>
        <w:t>Prescription Drugs</w:t>
      </w:r>
    </w:p>
    <w:p w:rsidR="005B509A" w:rsidRPr="00065BF6" w:rsidRDefault="005B509A" w:rsidP="00065BF6">
      <w:pPr>
        <w:spacing w:after="0"/>
        <w:jc w:val="both"/>
        <w:rPr>
          <w:rFonts w:eastAsia="Calibri" w:cs="Arial"/>
        </w:rPr>
      </w:pPr>
      <w:r w:rsidRPr="00065BF6">
        <w:rPr>
          <w:rFonts w:eastAsia="Calibri" w:cs="Arial"/>
        </w:rPr>
        <w:t>The sales tax exemption for prescription drugs accounts for approximately $494 million in reduced state and local tax revenue (Fiscal Year 2014).</w:t>
      </w:r>
      <w:r w:rsidRPr="00065BF6">
        <w:rPr>
          <w:rFonts w:eastAsia="Calibri" w:cs="Arial"/>
          <w:vertAlign w:val="superscript"/>
        </w:rPr>
        <w:footnoteReference w:id="2"/>
      </w:r>
    </w:p>
    <w:p w:rsidR="005B509A" w:rsidRPr="00065BF6" w:rsidRDefault="005B509A" w:rsidP="00065BF6">
      <w:pPr>
        <w:spacing w:after="0"/>
        <w:jc w:val="both"/>
        <w:rPr>
          <w:rFonts w:eastAsia="Calibri" w:cs="Arial"/>
        </w:rPr>
      </w:pPr>
      <w:r w:rsidRPr="00065BF6">
        <w:rPr>
          <w:rFonts w:eastAsia="Calibri" w:cs="Arial"/>
        </w:rPr>
        <w:t>The estimate is based on total prescription drug sales in Virginia and includes both institutional and retail sales. Based on national statistics, sales to institutions account for approximately 28.3% of sales, which translates to $140 million in reduced Virginia tax revenue, while retail sales account for 71.7% of sales or $354 million.</w:t>
      </w:r>
      <w:r w:rsidRPr="00065BF6">
        <w:rPr>
          <w:rFonts w:eastAsia="Calibri" w:cs="Arial"/>
          <w:vertAlign w:val="superscript"/>
        </w:rPr>
        <w:footnoteReference w:id="3"/>
      </w:r>
    </w:p>
    <w:p w:rsidR="00065BF6" w:rsidRPr="00065BF6" w:rsidRDefault="005B509A" w:rsidP="00065BF6">
      <w:pPr>
        <w:spacing w:after="0"/>
        <w:jc w:val="both"/>
        <w:rPr>
          <w:rFonts w:eastAsia="Calibri" w:cs="Arial"/>
        </w:rPr>
      </w:pPr>
      <w:r w:rsidRPr="00065BF6">
        <w:rPr>
          <w:rFonts w:eastAsia="Calibri" w:cs="Arial"/>
        </w:rPr>
        <w:t>The estimated reduction in tax revenue includes payments that would have been made by: private insurers, $157 million, Medicare and Medicaid, $118 million, and consumers’ out-of-pocket, $63 million, or 17.8% of retail prescription drug sales. Other insurers and third-party payers account for an estimated $16 million in reduced tax liability.</w:t>
      </w:r>
      <w:r w:rsidRPr="00065BF6">
        <w:rPr>
          <w:rFonts w:eastAsia="Calibri" w:cs="Arial"/>
          <w:vertAlign w:val="superscript"/>
        </w:rPr>
        <w:footnoteReference w:id="4"/>
      </w:r>
    </w:p>
    <w:p w:rsidR="005B509A" w:rsidRPr="00065BF6" w:rsidRDefault="005B509A" w:rsidP="00065BF6">
      <w:pPr>
        <w:spacing w:after="0"/>
        <w:rPr>
          <w:rFonts w:eastAsia="Calibri" w:cs="Arial"/>
        </w:rPr>
      </w:pPr>
    </w:p>
    <w:p w:rsidR="00065BF6" w:rsidRDefault="00065BF6" w:rsidP="005B509A">
      <w:pPr>
        <w:spacing w:after="0" w:line="240" w:lineRule="auto"/>
        <w:jc w:val="both"/>
        <w:rPr>
          <w:rFonts w:ascii="Arial" w:eastAsia="Calibri" w:hAnsi="Arial" w:cs="Arial"/>
          <w:sz w:val="24"/>
          <w:szCs w:val="24"/>
        </w:rPr>
      </w:pPr>
    </w:p>
    <w:p w:rsidR="00065BF6" w:rsidRDefault="00065BF6" w:rsidP="005B509A">
      <w:pPr>
        <w:spacing w:after="0" w:line="240" w:lineRule="auto"/>
        <w:jc w:val="both"/>
        <w:rPr>
          <w:rFonts w:ascii="Arial" w:eastAsia="Calibri" w:hAnsi="Arial" w:cs="Arial"/>
          <w:sz w:val="24"/>
          <w:szCs w:val="24"/>
        </w:rPr>
      </w:pPr>
    </w:p>
    <w:p w:rsidR="00065BF6" w:rsidRDefault="00065BF6" w:rsidP="00065BF6">
      <w:pPr>
        <w:spacing w:after="0"/>
        <w:jc w:val="both"/>
        <w:rPr>
          <w:rFonts w:eastAsia="Calibri" w:cs="Arial"/>
        </w:rPr>
      </w:pPr>
    </w:p>
    <w:p w:rsidR="00065BF6" w:rsidRDefault="00065BF6" w:rsidP="00065BF6">
      <w:pPr>
        <w:spacing w:after="0"/>
        <w:jc w:val="both"/>
        <w:rPr>
          <w:rFonts w:eastAsia="Calibri" w:cs="Arial"/>
        </w:rPr>
      </w:pPr>
    </w:p>
    <w:p w:rsidR="005B509A" w:rsidRPr="00065BF6" w:rsidRDefault="005B509A" w:rsidP="00065BF6">
      <w:pPr>
        <w:spacing w:after="0"/>
        <w:jc w:val="both"/>
        <w:rPr>
          <w:rFonts w:eastAsia="Calibri" w:cs="Arial"/>
        </w:rPr>
      </w:pPr>
      <w:r w:rsidRPr="00065BF6">
        <w:rPr>
          <w:rFonts w:eastAsia="Calibri" w:cs="Times New Roman"/>
          <w:noProof/>
        </w:rPr>
        <w:lastRenderedPageBreak/>
        <w:drawing>
          <wp:anchor distT="0" distB="914400" distL="114300" distR="114300" simplePos="0" relativeHeight="251658240" behindDoc="0" locked="0" layoutInCell="1" allowOverlap="1" wp14:anchorId="5959142D" wp14:editId="4967E135">
            <wp:simplePos x="0" y="0"/>
            <wp:positionH relativeFrom="column">
              <wp:posOffset>-635</wp:posOffset>
            </wp:positionH>
            <wp:positionV relativeFrom="paragraph">
              <wp:posOffset>0</wp:posOffset>
            </wp:positionV>
            <wp:extent cx="5001768" cy="4727448"/>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768" cy="472744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65BF6">
        <w:rPr>
          <w:rFonts w:eastAsia="Calibri" w:cs="Arial"/>
        </w:rPr>
        <w:t>The institutional channel includes purchases of prescription drugs by hospitals, clinics, long-term care facilities and the like. A significant portion of these institutions may be nonprofit entities and may also be eligible for the nonprofit organizations’ sales tax exemption (§ 58.1-609.11).</w:t>
      </w:r>
    </w:p>
    <w:p w:rsidR="005B509A" w:rsidRPr="005B509A" w:rsidRDefault="005B509A" w:rsidP="005B509A">
      <w:pPr>
        <w:spacing w:after="0" w:line="240" w:lineRule="auto"/>
        <w:rPr>
          <w:rFonts w:ascii="Arial" w:eastAsia="Calibri" w:hAnsi="Arial" w:cs="Arial"/>
          <w:sz w:val="24"/>
          <w:szCs w:val="24"/>
        </w:rPr>
      </w:pPr>
    </w:p>
    <w:p w:rsidR="00065BF6" w:rsidRPr="00065BF6" w:rsidRDefault="00065BF6" w:rsidP="00065BF6">
      <w:pPr>
        <w:spacing w:after="0"/>
        <w:rPr>
          <w:rFonts w:eastAsia="Calibri" w:cs="Arial"/>
          <w:b/>
        </w:rPr>
      </w:pPr>
      <w:r w:rsidRPr="00065BF6">
        <w:rPr>
          <w:rFonts w:eastAsia="Calibri" w:cs="Arial"/>
          <w:b/>
        </w:rPr>
        <w:t>Nonprescription Drugs</w:t>
      </w:r>
    </w:p>
    <w:p w:rsidR="00065BF6" w:rsidRPr="00065BF6" w:rsidRDefault="00065BF6" w:rsidP="00065BF6">
      <w:pPr>
        <w:spacing w:after="0"/>
        <w:rPr>
          <w:rFonts w:eastAsia="Calibri" w:cs="Arial"/>
          <w:b/>
        </w:rPr>
      </w:pPr>
    </w:p>
    <w:p w:rsidR="00065BF6" w:rsidRPr="00065BF6" w:rsidRDefault="00065BF6" w:rsidP="00065BF6">
      <w:pPr>
        <w:spacing w:after="0"/>
        <w:jc w:val="both"/>
        <w:rPr>
          <w:rFonts w:eastAsia="Calibri" w:cs="Arial"/>
        </w:rPr>
      </w:pPr>
      <w:r w:rsidRPr="00065BF6">
        <w:rPr>
          <w:rFonts w:eastAsia="Calibri" w:cs="Arial"/>
        </w:rPr>
        <w:t>The sales tax exemption for nonprescription drugs accounts for approximately $35 million in reduced state and local tax revenue (Fiscal Year 2014).</w:t>
      </w:r>
      <w:r w:rsidRPr="00065BF6">
        <w:rPr>
          <w:rFonts w:eastAsia="Calibri" w:cs="Arial"/>
          <w:vertAlign w:val="superscript"/>
        </w:rPr>
        <w:footnoteReference w:id="5"/>
      </w:r>
    </w:p>
    <w:p w:rsidR="005B509A" w:rsidRPr="00065BF6" w:rsidRDefault="005B509A" w:rsidP="00065BF6">
      <w:pPr>
        <w:spacing w:after="0"/>
      </w:pPr>
      <w:r w:rsidRPr="005B509A">
        <w:rPr>
          <w:rFonts w:ascii="Arial" w:eastAsia="Calibri" w:hAnsi="Arial" w:cs="Arial"/>
          <w:sz w:val="24"/>
          <w:szCs w:val="24"/>
        </w:rPr>
        <w:br w:type="page"/>
      </w:r>
    </w:p>
    <w:p w:rsidR="00625514" w:rsidRPr="00065BF6" w:rsidRDefault="00625514" w:rsidP="00065BF6">
      <w:pPr>
        <w:pBdr>
          <w:bottom w:val="single" w:sz="18" w:space="1" w:color="17365D" w:themeColor="text2" w:themeShade="BF"/>
        </w:pBdr>
        <w:jc w:val="right"/>
        <w:rPr>
          <w:color w:val="17365D" w:themeColor="text2" w:themeShade="BF"/>
          <w:sz w:val="36"/>
          <w:szCs w:val="36"/>
        </w:rPr>
      </w:pPr>
      <w:r w:rsidRPr="00065BF6">
        <w:rPr>
          <w:color w:val="17365D" w:themeColor="text2" w:themeShade="BF"/>
          <w:sz w:val="36"/>
          <w:szCs w:val="36"/>
        </w:rPr>
        <w:lastRenderedPageBreak/>
        <w:t>Other States</w:t>
      </w:r>
    </w:p>
    <w:p w:rsidR="00CE792B" w:rsidRDefault="00CE792B" w:rsidP="00CE792B">
      <w:pPr>
        <w:spacing w:after="0"/>
        <w:jc w:val="both"/>
        <w:rPr>
          <w:rFonts w:eastAsia="Calibri" w:cs="Arial"/>
        </w:rPr>
      </w:pPr>
    </w:p>
    <w:p w:rsidR="005B509A" w:rsidRPr="00065BF6" w:rsidRDefault="005B509A" w:rsidP="00CE792B">
      <w:pPr>
        <w:spacing w:after="0"/>
        <w:jc w:val="both"/>
        <w:rPr>
          <w:rFonts w:cs="Arial"/>
          <w:b/>
          <w:bCs/>
        </w:rPr>
      </w:pPr>
      <w:r w:rsidRPr="00065BF6">
        <w:rPr>
          <w:rFonts w:eastAsia="Calibri" w:cs="Arial"/>
        </w:rPr>
        <w:t>As depicted in the following chart, of the forty-six states (including the District of Columbia) imposing the sales and use tax (</w:t>
      </w:r>
      <w:proofErr w:type="spellStart"/>
      <w:r w:rsidRPr="00065BF6">
        <w:rPr>
          <w:rFonts w:eastAsia="Calibri" w:cs="Arial"/>
        </w:rPr>
        <w:t>i</w:t>
      </w:r>
      <w:proofErr w:type="spellEnd"/>
      <w:r w:rsidRPr="00065BF6">
        <w:rPr>
          <w:rFonts w:eastAsia="Calibri" w:cs="Arial"/>
        </w:rPr>
        <w:t xml:space="preserve">) only one, Illinois, imposes tax on prescription drugs (at a reduced rate of 1%); and (ii) thirty-six impose the tax on nonprescription drugs.  </w:t>
      </w:r>
    </w:p>
    <w:p w:rsidR="005B509A" w:rsidRPr="005B509A" w:rsidRDefault="005B509A" w:rsidP="005B509A">
      <w:pPr>
        <w:spacing w:after="0" w:line="240" w:lineRule="auto"/>
        <w:jc w:val="center"/>
        <w:rPr>
          <w:rFonts w:ascii="Arial" w:hAnsi="Arial" w:cs="Arial"/>
          <w:sz w:val="24"/>
          <w:szCs w:val="24"/>
        </w:rPr>
      </w:pPr>
    </w:p>
    <w:p w:rsidR="005B509A" w:rsidRPr="005B509A" w:rsidRDefault="005B509A" w:rsidP="005B509A">
      <w:pPr>
        <w:spacing w:after="0" w:line="240" w:lineRule="auto"/>
        <w:jc w:val="center"/>
        <w:rPr>
          <w:rFonts w:ascii="Arial" w:eastAsia="Calibri" w:hAnsi="Arial" w:cs="Arial"/>
          <w:b/>
          <w:sz w:val="24"/>
          <w:szCs w:val="24"/>
        </w:rPr>
      </w:pPr>
      <w:r w:rsidRPr="005B509A">
        <w:rPr>
          <w:rFonts w:ascii="Arial" w:eastAsia="Calibri" w:hAnsi="Arial" w:cs="Arial"/>
          <w:b/>
          <w:sz w:val="24"/>
          <w:szCs w:val="24"/>
        </w:rPr>
        <w:t>STATE TABLE OF TAX TREATMENT FOR DRUGS</w:t>
      </w:r>
    </w:p>
    <w:p w:rsidR="005B509A" w:rsidRPr="005B509A" w:rsidRDefault="005B509A" w:rsidP="005B509A">
      <w:pPr>
        <w:spacing w:after="0" w:line="240" w:lineRule="auto"/>
        <w:jc w:val="center"/>
        <w:rPr>
          <w:rFonts w:ascii="Arial" w:eastAsia="Calibri" w:hAnsi="Arial" w:cs="Arial"/>
          <w:b/>
          <w:sz w:val="20"/>
          <w:szCs w:val="20"/>
        </w:rPr>
      </w:pPr>
    </w:p>
    <w:tbl>
      <w:tblPr>
        <w:tblStyle w:val="TableGrid"/>
        <w:tblW w:w="5000" w:type="pct"/>
        <w:tblLook w:val="04A0" w:firstRow="1" w:lastRow="0" w:firstColumn="1" w:lastColumn="0" w:noHBand="0" w:noVBand="1"/>
      </w:tblPr>
      <w:tblGrid>
        <w:gridCol w:w="3182"/>
        <w:gridCol w:w="3062"/>
        <w:gridCol w:w="3332"/>
      </w:tblGrid>
      <w:tr w:rsidR="005B509A" w:rsidRPr="005B509A" w:rsidTr="00CE792B">
        <w:trPr>
          <w:trHeight w:val="288"/>
          <w:tblHeader/>
        </w:trPr>
        <w:tc>
          <w:tcPr>
            <w:tcW w:w="1661" w:type="pct"/>
            <w:shd w:val="clear" w:color="auto" w:fill="BFBFBF" w:themeFill="background1" w:themeFillShade="BF"/>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State</w:t>
            </w:r>
          </w:p>
        </w:tc>
        <w:tc>
          <w:tcPr>
            <w:tcW w:w="1599" w:type="pct"/>
            <w:shd w:val="clear" w:color="auto" w:fill="BFBFBF" w:themeFill="background1" w:themeFillShade="BF"/>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Prescription Drugs</w:t>
            </w:r>
          </w:p>
        </w:tc>
        <w:tc>
          <w:tcPr>
            <w:tcW w:w="1741" w:type="pct"/>
            <w:shd w:val="clear" w:color="auto" w:fill="BFBFBF" w:themeFill="background1" w:themeFillShade="BF"/>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Nonprescription Drugs</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Alabama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Arizona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Arkansas</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California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Colorado</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Connecticut</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District of Columbia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Florida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Georgia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Hawaii</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Idaho</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Illinois</w:t>
            </w:r>
          </w:p>
        </w:tc>
        <w:tc>
          <w:tcPr>
            <w:tcW w:w="1599"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Taxable**</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Indiana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Iowa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Kansas</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Kentucky</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Louisiana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Maine</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Maryland</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Massachusetts</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Michigan</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Minnesota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Mississippi</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Missouri</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Nebraska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Nevada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New Jersey</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New Mexico</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New York</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North Carolina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North Dakota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Ohio</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Oklahoma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lastRenderedPageBreak/>
              <w:t>Pennsylvania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Rhode Island</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South Carolina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South Dakota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Tennessee</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Texas</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Utah</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Vermont</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b/>
                <w:sz w:val="20"/>
                <w:szCs w:val="20"/>
              </w:rPr>
            </w:pPr>
            <w:r w:rsidRPr="005B509A">
              <w:rPr>
                <w:rFonts w:ascii="Arial" w:eastAsia="Calibri" w:hAnsi="Arial" w:cs="Arial"/>
                <w:b/>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Virginia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Washington</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West Virginia</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Wisconsin</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r w:rsidR="005B509A" w:rsidRPr="005B509A" w:rsidTr="00CE792B">
        <w:trPr>
          <w:trHeight w:val="288"/>
        </w:trPr>
        <w:tc>
          <w:tcPr>
            <w:tcW w:w="166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Wyoming</w:t>
            </w:r>
          </w:p>
        </w:tc>
        <w:tc>
          <w:tcPr>
            <w:tcW w:w="1599"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Exempt</w:t>
            </w:r>
          </w:p>
        </w:tc>
        <w:tc>
          <w:tcPr>
            <w:tcW w:w="1741" w:type="pct"/>
          </w:tcPr>
          <w:p w:rsidR="005B509A" w:rsidRPr="005B509A" w:rsidRDefault="005B509A" w:rsidP="00065BF6">
            <w:pPr>
              <w:jc w:val="center"/>
              <w:rPr>
                <w:rFonts w:ascii="Arial" w:eastAsia="Calibri" w:hAnsi="Arial" w:cs="Arial"/>
                <w:sz w:val="20"/>
                <w:szCs w:val="20"/>
              </w:rPr>
            </w:pPr>
            <w:r w:rsidRPr="005B509A">
              <w:rPr>
                <w:rFonts w:ascii="Arial" w:eastAsia="Calibri" w:hAnsi="Arial" w:cs="Arial"/>
                <w:sz w:val="20"/>
                <w:szCs w:val="20"/>
              </w:rPr>
              <w:t>Taxable</w:t>
            </w:r>
          </w:p>
        </w:tc>
      </w:tr>
    </w:tbl>
    <w:p w:rsidR="005B509A" w:rsidRPr="005B509A" w:rsidRDefault="005B509A" w:rsidP="00065BF6">
      <w:pPr>
        <w:spacing w:after="0" w:line="240" w:lineRule="auto"/>
        <w:jc w:val="center"/>
        <w:rPr>
          <w:rFonts w:ascii="Arial" w:eastAsia="Calibri" w:hAnsi="Arial" w:cs="Arial"/>
          <w:sz w:val="20"/>
          <w:szCs w:val="20"/>
        </w:rPr>
      </w:pPr>
      <w:r w:rsidRPr="005B509A">
        <w:rPr>
          <w:rFonts w:ascii="Arial" w:eastAsia="Calibri" w:hAnsi="Arial" w:cs="Arial"/>
          <w:sz w:val="20"/>
          <w:szCs w:val="20"/>
        </w:rPr>
        <w:t>* - Some exceptions or limitations apply.</w:t>
      </w:r>
    </w:p>
    <w:p w:rsidR="005B509A" w:rsidRPr="005B509A" w:rsidRDefault="005B509A" w:rsidP="00065BF6">
      <w:pPr>
        <w:spacing w:after="0" w:line="240" w:lineRule="auto"/>
        <w:jc w:val="center"/>
        <w:rPr>
          <w:rFonts w:ascii="Arial" w:eastAsia="Calibri" w:hAnsi="Arial" w:cs="Arial"/>
          <w:sz w:val="20"/>
          <w:szCs w:val="20"/>
        </w:rPr>
      </w:pPr>
      <w:r w:rsidRPr="005B509A">
        <w:rPr>
          <w:rFonts w:ascii="Arial" w:eastAsia="Calibri" w:hAnsi="Arial" w:cs="Arial"/>
          <w:sz w:val="20"/>
          <w:szCs w:val="20"/>
        </w:rPr>
        <w:t>**- Taxable at reduced rate</w:t>
      </w:r>
    </w:p>
    <w:p w:rsidR="00625514" w:rsidRDefault="00625514" w:rsidP="00065BF6">
      <w:pPr>
        <w:jc w:val="center"/>
      </w:pPr>
    </w:p>
    <w:p w:rsidR="005B509A" w:rsidRDefault="005B509A" w:rsidP="00625514"/>
    <w:p w:rsidR="005B509A" w:rsidRDefault="005B509A" w:rsidP="00625514"/>
    <w:p w:rsidR="005B509A" w:rsidRDefault="005B509A" w:rsidP="00625514"/>
    <w:p w:rsidR="00944384" w:rsidRDefault="00944384" w:rsidP="00944384">
      <w:pPr>
        <w:pBdr>
          <w:bottom w:val="single" w:sz="18" w:space="1" w:color="17365D" w:themeColor="text2" w:themeShade="BF"/>
        </w:pBdr>
        <w:jc w:val="right"/>
        <w:rPr>
          <w:sz w:val="36"/>
          <w:szCs w:val="36"/>
        </w:rPr>
      </w:pPr>
      <w:r w:rsidRPr="00065BF6">
        <w:rPr>
          <w:color w:val="17365D" w:themeColor="text2" w:themeShade="BF"/>
          <w:sz w:val="36"/>
          <w:szCs w:val="36"/>
        </w:rPr>
        <w:t>Joint Subcommittee Recommendation</w:t>
      </w:r>
    </w:p>
    <w:p w:rsidR="00CC336E" w:rsidRPr="00D774E4" w:rsidRDefault="00D774E4" w:rsidP="00CC336E">
      <w:pPr>
        <w:jc w:val="right"/>
      </w:pPr>
      <w:r>
        <w:t>(to be completed after Joint Subcommittee meeting)</w:t>
      </w:r>
    </w:p>
    <w:p w:rsidR="00CC336E" w:rsidRDefault="00CC336E" w:rsidP="00CC336E">
      <w:pPr>
        <w:jc w:val="right"/>
        <w:rPr>
          <w:sz w:val="36"/>
          <w:szCs w:val="36"/>
        </w:rPr>
      </w:pPr>
    </w:p>
    <w:p w:rsidR="00CC336E" w:rsidRDefault="00CC336E" w:rsidP="00CC336E">
      <w:pPr>
        <w:jc w:val="right"/>
        <w:rPr>
          <w:sz w:val="36"/>
          <w:szCs w:val="36"/>
        </w:rPr>
      </w:pPr>
    </w:p>
    <w:p w:rsidR="006D74B4" w:rsidRDefault="009C1D7A">
      <w:pPr>
        <w:rPr>
          <w:sz w:val="36"/>
          <w:szCs w:val="36"/>
        </w:rPr>
      </w:pPr>
      <w:r w:rsidRPr="009C1D7A">
        <w:rPr>
          <w:noProof/>
          <w:sz w:val="36"/>
          <w:szCs w:val="36"/>
        </w:rPr>
        <mc:AlternateContent>
          <mc:Choice Requires="wps">
            <w:drawing>
              <wp:anchor distT="0" distB="0" distL="114300" distR="114300" simplePos="0" relativeHeight="251660288" behindDoc="0" locked="0" layoutInCell="1" allowOverlap="1" wp14:editId="36B11C9B">
                <wp:simplePos x="0" y="0"/>
                <wp:positionH relativeFrom="column">
                  <wp:posOffset>-390525</wp:posOffset>
                </wp:positionH>
                <wp:positionV relativeFrom="paragraph">
                  <wp:posOffset>1907540</wp:posOffset>
                </wp:positionV>
                <wp:extent cx="289750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403985"/>
                        </a:xfrm>
                        <a:prstGeom prst="rect">
                          <a:avLst/>
                        </a:prstGeom>
                        <a:solidFill>
                          <a:schemeClr val="tx2">
                            <a:lumMod val="20000"/>
                            <a:lumOff val="80000"/>
                          </a:schemeClr>
                        </a:solidFill>
                        <a:ln w="19050">
                          <a:solidFill>
                            <a:schemeClr val="tx2">
                              <a:lumMod val="75000"/>
                            </a:schemeClr>
                          </a:solidFill>
                          <a:miter lim="800000"/>
                          <a:headEnd/>
                          <a:tailEnd/>
                        </a:ln>
                      </wps:spPr>
                      <wps:txbx>
                        <w:txbxContent>
                          <w:p w:rsidR="009C1D7A" w:rsidRDefault="009C1D7A">
                            <w:bookmarkStart w:id="0" w:name="_GoBack"/>
                            <w:r>
                              <w:t>Preference Report Compiled by Staff from the Virginia Division of Legislative Services and the Virginia Department of Taxation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50.2pt;width:228.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" fillcolor="#c6d9f1 [671]" strokecolor="#17365d [2415]" strokeweight="1.5pt">
                <v:textbox style="mso-fit-shape-to-text:t">
                  <w:txbxContent>
                    <w:p w:rsidR="009C1D7A" w:rsidRDefault="009C1D7A">
                      <w:bookmarkStart w:id="1" w:name="_GoBack"/>
                      <w:r>
                        <w:t>Preference Report Compiled by Staff from the Virginia Division of Legislative Services and the Virginia Department of Taxation</w:t>
                      </w:r>
                      <w:bookmarkEnd w:id="1"/>
                    </w:p>
                  </w:txbxContent>
                </v:textbox>
              </v:shape>
            </w:pict>
          </mc:Fallback>
        </mc:AlternateContent>
      </w:r>
      <w:r w:rsidR="006D74B4">
        <w:rPr>
          <w:sz w:val="36"/>
          <w:szCs w:val="36"/>
        </w:rPr>
        <w:br w:type="page"/>
      </w:r>
    </w:p>
    <w:p w:rsidR="006D74B4" w:rsidRDefault="006D74B4" w:rsidP="006D74B4">
      <w:pPr>
        <w:pBdr>
          <w:bottom w:val="single" w:sz="18" w:space="1" w:color="17365D" w:themeColor="text2" w:themeShade="BF"/>
        </w:pBdr>
        <w:jc w:val="right"/>
        <w:rPr>
          <w:sz w:val="36"/>
          <w:szCs w:val="36"/>
        </w:rPr>
      </w:pPr>
      <w:r>
        <w:rPr>
          <w:color w:val="17365D" w:themeColor="text2" w:themeShade="BF"/>
          <w:sz w:val="36"/>
          <w:szCs w:val="36"/>
        </w:rPr>
        <w:lastRenderedPageBreak/>
        <w:t>Appendix A</w:t>
      </w:r>
    </w:p>
    <w:p w:rsidR="006D74B4" w:rsidRDefault="006D74B4" w:rsidP="006D74B4">
      <w:pPr>
        <w:spacing w:after="24" w:line="288" w:lineRule="atLeast"/>
        <w:textAlignment w:val="baseline"/>
        <w:outlineLvl w:val="1"/>
        <w:rPr>
          <w:rFonts w:eastAsia="Times New Roman" w:cs="Times New Roman"/>
          <w:color w:val="444444"/>
          <w:sz w:val="31"/>
          <w:szCs w:val="31"/>
        </w:rPr>
      </w:pPr>
      <w:r w:rsidRPr="006D74B4">
        <w:rPr>
          <w:rFonts w:eastAsia="Times New Roman" w:cs="Times New Roman"/>
          <w:color w:val="444444"/>
          <w:sz w:val="31"/>
          <w:szCs w:val="31"/>
        </w:rPr>
        <w:t>§ 58.1-609.10. Miscellaneous exemptions.</w:t>
      </w:r>
      <w:r>
        <w:rPr>
          <w:rFonts w:eastAsia="Times New Roman" w:cs="Times New Roman"/>
          <w:color w:val="444444"/>
          <w:sz w:val="31"/>
          <w:szCs w:val="31"/>
        </w:rPr>
        <w:t xml:space="preserve">  (excerpt)</w:t>
      </w:r>
    </w:p>
    <w:p w:rsidR="006D74B4" w:rsidRPr="006D74B4" w:rsidRDefault="006D74B4" w:rsidP="006D74B4">
      <w:pPr>
        <w:spacing w:after="24" w:line="288" w:lineRule="atLeast"/>
        <w:textAlignment w:val="baseline"/>
        <w:outlineLvl w:val="1"/>
        <w:rPr>
          <w:rFonts w:eastAsia="Times New Roman" w:cs="Times New Roman"/>
          <w:color w:val="444444"/>
          <w:sz w:val="31"/>
          <w:szCs w:val="31"/>
        </w:rPr>
      </w:pPr>
    </w:p>
    <w:p w:rsidR="006D74B4" w:rsidRPr="006D74B4" w:rsidRDefault="006D74B4" w:rsidP="006D74B4">
      <w:pPr>
        <w:spacing w:after="0" w:line="240" w:lineRule="auto"/>
        <w:textAlignment w:val="baseline"/>
        <w:rPr>
          <w:rFonts w:eastAsia="Times New Roman" w:cs="Times New Roman"/>
          <w:color w:val="000000" w:themeColor="text1"/>
        </w:rPr>
      </w:pPr>
      <w:r w:rsidRPr="006D74B4">
        <w:rPr>
          <w:rFonts w:eastAsia="Times New Roman" w:cs="Times New Roman"/>
          <w:color w:val="000000" w:themeColor="text1"/>
        </w:rPr>
        <w:t>The tax imposed by this chapter or pursuant to the authority granted in §§ </w:t>
      </w:r>
      <w:hyperlink r:id="rId10" w:history="1">
        <w:r w:rsidRPr="006D74B4">
          <w:rPr>
            <w:rFonts w:eastAsia="Times New Roman" w:cs="Times New Roman"/>
            <w:color w:val="000000" w:themeColor="text1"/>
            <w:bdr w:val="none" w:sz="0" w:space="0" w:color="auto" w:frame="1"/>
          </w:rPr>
          <w:t>58.1-605</w:t>
        </w:r>
      </w:hyperlink>
      <w:r w:rsidRPr="006D74B4">
        <w:rPr>
          <w:rFonts w:eastAsia="Times New Roman" w:cs="Times New Roman"/>
          <w:color w:val="000000" w:themeColor="text1"/>
        </w:rPr>
        <w:t> and </w:t>
      </w:r>
      <w:hyperlink r:id="rId11" w:history="1">
        <w:r w:rsidRPr="006D74B4">
          <w:rPr>
            <w:rFonts w:eastAsia="Times New Roman" w:cs="Times New Roman"/>
            <w:color w:val="000000" w:themeColor="text1"/>
            <w:bdr w:val="none" w:sz="0" w:space="0" w:color="auto" w:frame="1"/>
          </w:rPr>
          <w:t>58.1-606</w:t>
        </w:r>
      </w:hyperlink>
      <w:r w:rsidRPr="006D74B4">
        <w:rPr>
          <w:rFonts w:eastAsia="Times New Roman" w:cs="Times New Roman"/>
          <w:color w:val="000000" w:themeColor="text1"/>
        </w:rPr>
        <w:t> shall not apply to the following:</w:t>
      </w:r>
    </w:p>
    <w:p w:rsidR="00CC336E" w:rsidRPr="006D74B4" w:rsidRDefault="00CC336E" w:rsidP="006D74B4">
      <w:pPr>
        <w:rPr>
          <w:color w:val="000000" w:themeColor="text1"/>
        </w:rPr>
      </w:pPr>
    </w:p>
    <w:p w:rsidR="006D74B4" w:rsidRPr="006D74B4" w:rsidRDefault="006D74B4" w:rsidP="006D74B4">
      <w:pPr>
        <w:pStyle w:val="NormalWeb"/>
        <w:spacing w:before="0" w:beforeAutospacing="0" w:after="0" w:afterAutospacing="0" w:line="392" w:lineRule="atLeast"/>
        <w:textAlignment w:val="baseline"/>
        <w:rPr>
          <w:rFonts w:asciiTheme="minorHAnsi" w:hAnsiTheme="minorHAnsi"/>
          <w:color w:val="000000" w:themeColor="text1"/>
          <w:sz w:val="22"/>
          <w:szCs w:val="22"/>
        </w:rPr>
      </w:pPr>
      <w:r w:rsidRPr="006D74B4">
        <w:rPr>
          <w:rFonts w:asciiTheme="minorHAnsi" w:hAnsiTheme="minorHAnsi"/>
          <w:color w:val="000000" w:themeColor="text1"/>
          <w:sz w:val="22"/>
          <w:szCs w:val="22"/>
        </w:rPr>
        <w:t>9. Medicines, drugs, hypodermic syringes, artificial eyes, contact lenses, eyeglasses, eyeglass cases, and contact lens storage containers when distributed free of charge, all solutions or sterilization kits or other devices applicable to the wearing or maintenance of contact lenses or eyeglasses when distributed free of charge, and hearing aids dispensed by or sold on prescriptions or work orders of licensed physicians, dentists, optometrists, ophthalmologists, opticians, audiologists, hearing aid dealers and fitters, nurse practitioners, physician assistants, and veterinarians; controlled drugs purchased for use by a licensed physician, optometrist, licensed nurse practitioner, or licensed physician assistant in his professional practice, regardless of whether such practice is organized as a sole proprietorship, partnership, or professional corporation, or any other type of corporation in which the shareholders and operators are all licensed physicians, optometrists, licensed nurse practitioners, or licensed physician assistants engaged in the practice of medicine, optometry, or nursing; medicines and drugs purchased for use or consumption by a licensed hospital, nursing home, clinic, or similar corporation not otherwise exempt under this section; and samples of prescription drugs and medicines and their packaging distributed free of charge to authorized recipients in accordance with the federal Food, Drug, and Cosmetic Act (21 U.S.C.A. § 301 et seq., as amended). With the exceptions of those medicines and drugs used for agricultural production animals that are exempt to veterinarians under subdivision 1 of §</w:t>
      </w:r>
      <w:r w:rsidRPr="006D74B4">
        <w:rPr>
          <w:rStyle w:val="apple-converted-space"/>
          <w:rFonts w:asciiTheme="minorHAnsi" w:hAnsiTheme="minorHAnsi"/>
          <w:color w:val="000000" w:themeColor="text1"/>
          <w:sz w:val="22"/>
          <w:szCs w:val="22"/>
        </w:rPr>
        <w:t> </w:t>
      </w:r>
      <w:hyperlink r:id="rId12" w:history="1">
        <w:r w:rsidRPr="006D74B4">
          <w:rPr>
            <w:rStyle w:val="Hyperlink"/>
            <w:rFonts w:asciiTheme="minorHAnsi" w:hAnsiTheme="minorHAnsi"/>
            <w:color w:val="000000" w:themeColor="text1"/>
            <w:sz w:val="22"/>
            <w:szCs w:val="22"/>
            <w:bdr w:val="none" w:sz="0" w:space="0" w:color="auto" w:frame="1"/>
          </w:rPr>
          <w:t>58.1-609.2</w:t>
        </w:r>
      </w:hyperlink>
      <w:r w:rsidRPr="006D74B4">
        <w:rPr>
          <w:rFonts w:asciiTheme="minorHAnsi" w:hAnsiTheme="minorHAnsi"/>
          <w:color w:val="000000" w:themeColor="text1"/>
          <w:sz w:val="22"/>
          <w:szCs w:val="22"/>
        </w:rPr>
        <w:t>, any veterinarian dispensing or selling medicines or drugs on prescription shall be deemed to be the user or consumer of all such medicines and drugs.</w:t>
      </w:r>
    </w:p>
    <w:p w:rsidR="006D74B4" w:rsidRPr="006D74B4" w:rsidRDefault="006D74B4" w:rsidP="006D74B4">
      <w:pPr>
        <w:pStyle w:val="NormalWeb"/>
        <w:spacing w:before="0" w:beforeAutospacing="0" w:after="0" w:afterAutospacing="0" w:line="392" w:lineRule="atLeast"/>
        <w:textAlignment w:val="baseline"/>
        <w:rPr>
          <w:rFonts w:asciiTheme="minorHAnsi" w:hAnsiTheme="minorHAnsi"/>
          <w:color w:val="000000" w:themeColor="text1"/>
          <w:sz w:val="22"/>
          <w:szCs w:val="22"/>
        </w:rPr>
      </w:pPr>
    </w:p>
    <w:p w:rsidR="006D74B4" w:rsidRPr="006D74B4" w:rsidRDefault="006D74B4" w:rsidP="006D74B4">
      <w:pPr>
        <w:pStyle w:val="NormalWeb"/>
        <w:spacing w:before="0" w:beforeAutospacing="0" w:after="192" w:afterAutospacing="0" w:line="392" w:lineRule="atLeast"/>
        <w:textAlignment w:val="baseline"/>
        <w:rPr>
          <w:rFonts w:asciiTheme="minorHAnsi" w:hAnsiTheme="minorHAnsi"/>
          <w:color w:val="000000" w:themeColor="text1"/>
          <w:sz w:val="22"/>
          <w:szCs w:val="22"/>
        </w:rPr>
      </w:pPr>
      <w:r w:rsidRPr="006D74B4">
        <w:rPr>
          <w:rFonts w:asciiTheme="minorHAnsi" w:hAnsiTheme="minorHAnsi"/>
          <w:color w:val="000000" w:themeColor="text1"/>
          <w:sz w:val="22"/>
          <w:szCs w:val="22"/>
        </w:rPr>
        <w:t>10. Wheelchairs and parts therefor, braces, crutches, prosthetic devices, orthopedic appliances, catheters, urinary accessories, other durable medical equipment and devices, and related parts and supplies specifically designed for those products; and insulin and insulin syringes, and equipment, devices or chemical reagents that may be used by a diabetic to test or monitor blood or urine, when such items or parts are purchased by or on behalf of an individual for use by such individual. Durable medical equipment is equipment that (</w:t>
      </w:r>
      <w:proofErr w:type="spellStart"/>
      <w:r w:rsidRPr="006D74B4">
        <w:rPr>
          <w:rFonts w:asciiTheme="minorHAnsi" w:hAnsiTheme="minorHAnsi"/>
          <w:color w:val="000000" w:themeColor="text1"/>
          <w:sz w:val="22"/>
          <w:szCs w:val="22"/>
        </w:rPr>
        <w:t>i</w:t>
      </w:r>
      <w:proofErr w:type="spellEnd"/>
      <w:r w:rsidRPr="006D74B4">
        <w:rPr>
          <w:rFonts w:asciiTheme="minorHAnsi" w:hAnsiTheme="minorHAnsi"/>
          <w:color w:val="000000" w:themeColor="text1"/>
          <w:sz w:val="22"/>
          <w:szCs w:val="22"/>
        </w:rPr>
        <w:t xml:space="preserve">) can withstand repeated use, (ii) is primarily and customarily </w:t>
      </w:r>
      <w:r w:rsidRPr="006D74B4">
        <w:rPr>
          <w:rFonts w:asciiTheme="minorHAnsi" w:hAnsiTheme="minorHAnsi"/>
          <w:color w:val="000000" w:themeColor="text1"/>
          <w:sz w:val="22"/>
          <w:szCs w:val="22"/>
        </w:rPr>
        <w:lastRenderedPageBreak/>
        <w:t>used to serve a medical purpose, (iii) generally is not useful to a person in the absence of illness or injury, and (iv) is appropriate for use in the home.</w:t>
      </w:r>
    </w:p>
    <w:p w:rsidR="006D74B4" w:rsidRPr="006D74B4" w:rsidRDefault="006D74B4" w:rsidP="006D74B4">
      <w:pPr>
        <w:pStyle w:val="NormalWeb"/>
        <w:spacing w:before="0" w:beforeAutospacing="0" w:after="192" w:afterAutospacing="0" w:line="392" w:lineRule="atLeast"/>
        <w:textAlignment w:val="baseline"/>
        <w:rPr>
          <w:rFonts w:asciiTheme="minorHAnsi" w:hAnsiTheme="minorHAnsi"/>
          <w:color w:val="000000" w:themeColor="text1"/>
          <w:sz w:val="22"/>
          <w:szCs w:val="22"/>
        </w:rPr>
      </w:pPr>
      <w:r w:rsidRPr="006D74B4">
        <w:rPr>
          <w:rFonts w:asciiTheme="minorHAnsi" w:hAnsiTheme="minorHAnsi"/>
          <w:color w:val="000000" w:themeColor="text1"/>
          <w:sz w:val="22"/>
          <w:szCs w:val="22"/>
        </w:rPr>
        <w:t>11. Drugs and supplies used in hemodialysis and peritoneal dialysis.</w:t>
      </w:r>
    </w:p>
    <w:p w:rsidR="006D74B4" w:rsidRPr="006D74B4" w:rsidRDefault="006D74B4" w:rsidP="006D74B4">
      <w:pPr>
        <w:pStyle w:val="NormalWeb"/>
        <w:spacing w:before="0" w:beforeAutospacing="0" w:after="192" w:afterAutospacing="0" w:line="392" w:lineRule="atLeast"/>
        <w:textAlignment w:val="baseline"/>
        <w:rPr>
          <w:rFonts w:asciiTheme="minorHAnsi" w:hAnsiTheme="minorHAnsi"/>
          <w:color w:val="000000" w:themeColor="text1"/>
          <w:sz w:val="22"/>
          <w:szCs w:val="22"/>
        </w:rPr>
      </w:pPr>
      <w:r w:rsidRPr="006D74B4">
        <w:rPr>
          <w:rFonts w:asciiTheme="minorHAnsi" w:hAnsiTheme="minorHAnsi"/>
          <w:color w:val="000000" w:themeColor="text1"/>
          <w:sz w:val="22"/>
          <w:szCs w:val="22"/>
        </w:rPr>
        <w:t>14. a. (</w:t>
      </w:r>
      <w:proofErr w:type="spellStart"/>
      <w:r w:rsidRPr="006D74B4">
        <w:rPr>
          <w:rFonts w:asciiTheme="minorHAnsi" w:hAnsiTheme="minorHAnsi"/>
          <w:color w:val="000000" w:themeColor="text1"/>
          <w:sz w:val="22"/>
          <w:szCs w:val="22"/>
        </w:rPr>
        <w:t>i</w:t>
      </w:r>
      <w:proofErr w:type="spellEnd"/>
      <w:r w:rsidRPr="006D74B4">
        <w:rPr>
          <w:rFonts w:asciiTheme="minorHAnsi" w:hAnsiTheme="minorHAnsi"/>
          <w:color w:val="000000" w:themeColor="text1"/>
          <w:sz w:val="22"/>
          <w:szCs w:val="22"/>
        </w:rPr>
        <w:t>) Any nonprescription drugs and proprietary medicines purchased for the cure, mitigation, treatment, or prevention of disease in human beings and (ii) any samples of nonprescription drugs and proprietary medicines distributed free of charge by the manufacturer, including packaging materials and constituent elements and ingredients.</w:t>
      </w:r>
    </w:p>
    <w:p w:rsidR="006D74B4" w:rsidRPr="006D74B4" w:rsidRDefault="006D74B4" w:rsidP="006D74B4">
      <w:pPr>
        <w:pStyle w:val="NormalWeb"/>
        <w:spacing w:before="0" w:beforeAutospacing="0" w:after="192" w:afterAutospacing="0" w:line="392" w:lineRule="atLeast"/>
        <w:textAlignment w:val="baseline"/>
        <w:rPr>
          <w:rFonts w:asciiTheme="minorHAnsi" w:hAnsiTheme="minorHAnsi"/>
          <w:color w:val="000000" w:themeColor="text1"/>
          <w:sz w:val="22"/>
          <w:szCs w:val="22"/>
        </w:rPr>
      </w:pPr>
      <w:r w:rsidRPr="006D74B4">
        <w:rPr>
          <w:rFonts w:asciiTheme="minorHAnsi" w:hAnsiTheme="minorHAnsi"/>
          <w:color w:val="000000" w:themeColor="text1"/>
          <w:sz w:val="22"/>
          <w:szCs w:val="22"/>
        </w:rPr>
        <w:t>b. The terms "nonprescription drugs" and "proprietary medicines" shall be defined pursuant to regulations promulgated by the Department of Taxation. The exemption authorized in this subdivision shall not apply to cosmetics.</w:t>
      </w:r>
    </w:p>
    <w:p w:rsidR="006D74B4" w:rsidRPr="006D74B4" w:rsidRDefault="006D74B4" w:rsidP="006D74B4">
      <w:pPr>
        <w:rPr>
          <w:color w:val="000000" w:themeColor="text1"/>
        </w:rPr>
      </w:pPr>
    </w:p>
    <w:sectPr w:rsidR="006D74B4" w:rsidRPr="006D74B4" w:rsidSect="00AA78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DB" w:rsidRDefault="003A38DB" w:rsidP="00786FF5">
      <w:pPr>
        <w:spacing w:after="0" w:line="240" w:lineRule="auto"/>
      </w:pPr>
      <w:r>
        <w:separator/>
      </w:r>
    </w:p>
  </w:endnote>
  <w:endnote w:type="continuationSeparator" w:id="0">
    <w:p w:rsidR="003A38DB" w:rsidRDefault="003A38DB" w:rsidP="0078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6190"/>
      <w:docPartObj>
        <w:docPartGallery w:val="Page Numbers (Bottom of Page)"/>
        <w:docPartUnique/>
      </w:docPartObj>
    </w:sdtPr>
    <w:sdtEndPr>
      <w:rPr>
        <w:noProof/>
      </w:rPr>
    </w:sdtEndPr>
    <w:sdtContent>
      <w:p w:rsidR="007A3DE6" w:rsidRDefault="007A3DE6">
        <w:pPr>
          <w:pStyle w:val="Footer"/>
          <w:jc w:val="right"/>
        </w:pPr>
        <w:r>
          <w:fldChar w:fldCharType="begin"/>
        </w:r>
        <w:r>
          <w:instrText xml:space="preserve"> PAGE   \* MERGEFORMAT </w:instrText>
        </w:r>
        <w:r>
          <w:fldChar w:fldCharType="separate"/>
        </w:r>
        <w:r w:rsidR="009B2C98">
          <w:rPr>
            <w:noProof/>
          </w:rPr>
          <w:t>4</w:t>
        </w:r>
        <w:r>
          <w:rPr>
            <w:noProof/>
          </w:rPr>
          <w:fldChar w:fldCharType="end"/>
        </w:r>
      </w:p>
    </w:sdtContent>
  </w:sdt>
  <w:p w:rsidR="007A3DE6" w:rsidRDefault="007A3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DB" w:rsidRDefault="003A38DB" w:rsidP="00786FF5">
      <w:pPr>
        <w:spacing w:after="0" w:line="240" w:lineRule="auto"/>
      </w:pPr>
      <w:r>
        <w:separator/>
      </w:r>
    </w:p>
  </w:footnote>
  <w:footnote w:type="continuationSeparator" w:id="0">
    <w:p w:rsidR="003A38DB" w:rsidRDefault="003A38DB" w:rsidP="00786FF5">
      <w:pPr>
        <w:spacing w:after="0" w:line="240" w:lineRule="auto"/>
      </w:pPr>
      <w:r>
        <w:continuationSeparator/>
      </w:r>
    </w:p>
  </w:footnote>
  <w:footnote w:id="1">
    <w:p w:rsidR="00E47003" w:rsidRDefault="00E47003">
      <w:pPr>
        <w:pStyle w:val="FootnoteText"/>
      </w:pPr>
      <w:r>
        <w:rPr>
          <w:rStyle w:val="FootnoteReference"/>
        </w:rPr>
        <w:footnoteRef/>
      </w:r>
      <w:r>
        <w:t xml:space="preserve"> See Appendix A for text of the exemptions</w:t>
      </w:r>
      <w:r w:rsidR="006D74B4">
        <w:t>.</w:t>
      </w:r>
    </w:p>
  </w:footnote>
  <w:footnote w:id="2">
    <w:p w:rsidR="0039654C" w:rsidRPr="00E2742E" w:rsidRDefault="0039654C" w:rsidP="005B509A">
      <w:pPr>
        <w:pStyle w:val="FootnoteText"/>
        <w:rPr>
          <w:sz w:val="18"/>
          <w:szCs w:val="18"/>
        </w:rPr>
      </w:pPr>
      <w:r w:rsidRPr="00E2742E">
        <w:rPr>
          <w:rStyle w:val="FootnoteReference"/>
          <w:sz w:val="18"/>
          <w:szCs w:val="18"/>
        </w:rPr>
        <w:footnoteRef/>
      </w:r>
      <w:r w:rsidRPr="00E2742E">
        <w:rPr>
          <w:sz w:val="18"/>
          <w:szCs w:val="18"/>
        </w:rPr>
        <w:t xml:space="preserve"> Department of Taxation calculations using data from IMS Health.</w:t>
      </w:r>
    </w:p>
  </w:footnote>
  <w:footnote w:id="3">
    <w:p w:rsidR="0039654C" w:rsidRPr="00E2742E" w:rsidRDefault="0039654C" w:rsidP="005B509A">
      <w:pPr>
        <w:pStyle w:val="FootnoteText"/>
        <w:rPr>
          <w:sz w:val="18"/>
          <w:szCs w:val="18"/>
        </w:rPr>
      </w:pPr>
      <w:r w:rsidRPr="00E2742E">
        <w:rPr>
          <w:rStyle w:val="FootnoteReference"/>
          <w:sz w:val="18"/>
          <w:szCs w:val="18"/>
        </w:rPr>
        <w:footnoteRef/>
      </w:r>
      <w:r w:rsidRPr="00E2742E">
        <w:rPr>
          <w:sz w:val="18"/>
          <w:szCs w:val="18"/>
        </w:rPr>
        <w:t xml:space="preserve"> IMS Health: Channel Distribution by Non-Discounted Spending (U.S.), http://www.imshealth.com/deployedfiles/imshealth/Global/Content/Corporate/Press%20Room/2012_U.S/Channel_Distribution_by_Non-Discounted_Spending_U.S.pdf</w:t>
      </w:r>
    </w:p>
  </w:footnote>
  <w:footnote w:id="4">
    <w:p w:rsidR="0039654C" w:rsidRDefault="0039654C" w:rsidP="005B509A">
      <w:pPr>
        <w:pStyle w:val="FootnoteText"/>
      </w:pPr>
      <w:r w:rsidRPr="00E2742E">
        <w:rPr>
          <w:rStyle w:val="FootnoteReference"/>
          <w:sz w:val="18"/>
          <w:szCs w:val="18"/>
        </w:rPr>
        <w:footnoteRef/>
      </w:r>
      <w:r w:rsidRPr="00E2742E">
        <w:rPr>
          <w:sz w:val="18"/>
          <w:szCs w:val="18"/>
        </w:rPr>
        <w:t xml:space="preserve"> Department of Taxation calculations using data from Centers for Medicare &amp; Medicaid Services, Office of the Actuary, National Health Statistics Group, http://www.cms.gov/Research-Statistics-Data-and-Systems/Statistics-Trends-and-Reports/NationalHealthExpendData/Downloads/tables.pdf</w:t>
      </w:r>
    </w:p>
  </w:footnote>
  <w:footnote w:id="5">
    <w:p w:rsidR="00065BF6" w:rsidRDefault="00065BF6" w:rsidP="00065BF6">
      <w:pPr>
        <w:pStyle w:val="FootnoteText"/>
      </w:pPr>
      <w:r>
        <w:rPr>
          <w:rStyle w:val="FootnoteReference"/>
        </w:rPr>
        <w:footnoteRef/>
      </w:r>
      <w:r>
        <w:t xml:space="preserve"> Department of Taxation calculations using data from the </w:t>
      </w:r>
      <w:r w:rsidRPr="00606B63">
        <w:t xml:space="preserve">Consumer </w:t>
      </w:r>
      <w:proofErr w:type="spellStart"/>
      <w:r w:rsidRPr="00606B63">
        <w:t>Healthcare</w:t>
      </w:r>
      <w:proofErr w:type="spellEnd"/>
      <w:r w:rsidRPr="00606B63">
        <w:t xml:space="preserve"> Products Association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E72F9"/>
    <w:multiLevelType w:val="hybridMultilevel"/>
    <w:tmpl w:val="C6F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BF"/>
    <w:rsid w:val="00042B57"/>
    <w:rsid w:val="00057A3C"/>
    <w:rsid w:val="00065BF6"/>
    <w:rsid w:val="000C2CBF"/>
    <w:rsid w:val="001B45FA"/>
    <w:rsid w:val="00224025"/>
    <w:rsid w:val="002B7DE4"/>
    <w:rsid w:val="00354DEB"/>
    <w:rsid w:val="00372D63"/>
    <w:rsid w:val="0039654C"/>
    <w:rsid w:val="003A38DB"/>
    <w:rsid w:val="00501FE2"/>
    <w:rsid w:val="005B509A"/>
    <w:rsid w:val="0062144D"/>
    <w:rsid w:val="00625514"/>
    <w:rsid w:val="00632742"/>
    <w:rsid w:val="006361BC"/>
    <w:rsid w:val="00652886"/>
    <w:rsid w:val="00694303"/>
    <w:rsid w:val="006D74B4"/>
    <w:rsid w:val="007023E5"/>
    <w:rsid w:val="00786FF5"/>
    <w:rsid w:val="007A3DE6"/>
    <w:rsid w:val="00830A9E"/>
    <w:rsid w:val="00863CCD"/>
    <w:rsid w:val="008F31E6"/>
    <w:rsid w:val="00944384"/>
    <w:rsid w:val="009B2C98"/>
    <w:rsid w:val="009C1D7A"/>
    <w:rsid w:val="009F4CCE"/>
    <w:rsid w:val="00A324D4"/>
    <w:rsid w:val="00AA7854"/>
    <w:rsid w:val="00BF05F9"/>
    <w:rsid w:val="00C07522"/>
    <w:rsid w:val="00CC336E"/>
    <w:rsid w:val="00CE792B"/>
    <w:rsid w:val="00D56F6C"/>
    <w:rsid w:val="00D774E4"/>
    <w:rsid w:val="00DB6F02"/>
    <w:rsid w:val="00E03BB3"/>
    <w:rsid w:val="00E31011"/>
    <w:rsid w:val="00E31D41"/>
    <w:rsid w:val="00E43997"/>
    <w:rsid w:val="00E47003"/>
    <w:rsid w:val="00EB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D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F5"/>
    <w:rPr>
      <w:sz w:val="20"/>
      <w:szCs w:val="20"/>
    </w:rPr>
  </w:style>
  <w:style w:type="character" w:styleId="FootnoteReference">
    <w:name w:val="footnote reference"/>
    <w:basedOn w:val="DefaultParagraphFont"/>
    <w:uiPriority w:val="99"/>
    <w:semiHidden/>
    <w:unhideWhenUsed/>
    <w:rsid w:val="00786FF5"/>
    <w:rPr>
      <w:vertAlign w:val="superscript"/>
    </w:rPr>
  </w:style>
  <w:style w:type="paragraph" w:styleId="BalloonText">
    <w:name w:val="Balloon Text"/>
    <w:basedOn w:val="Normal"/>
    <w:link w:val="BalloonTextChar"/>
    <w:uiPriority w:val="99"/>
    <w:semiHidden/>
    <w:unhideWhenUsed/>
    <w:rsid w:val="00E0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B3"/>
    <w:rPr>
      <w:rFonts w:ascii="Tahoma" w:hAnsi="Tahoma" w:cs="Tahoma"/>
      <w:sz w:val="16"/>
      <w:szCs w:val="16"/>
    </w:rPr>
  </w:style>
  <w:style w:type="table" w:styleId="TableGrid">
    <w:name w:val="Table Grid"/>
    <w:basedOn w:val="TableNormal"/>
    <w:uiPriority w:val="59"/>
    <w:rsid w:val="005B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30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30A9E"/>
    <w:pPr>
      <w:ind w:left="720"/>
      <w:contextualSpacing/>
    </w:pPr>
  </w:style>
  <w:style w:type="paragraph" w:styleId="NormalWeb">
    <w:name w:val="Normal (Web)"/>
    <w:basedOn w:val="Normal"/>
    <w:uiPriority w:val="99"/>
    <w:semiHidden/>
    <w:unhideWhenUsed/>
    <w:rsid w:val="006D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4B4"/>
  </w:style>
  <w:style w:type="character" w:styleId="Hyperlink">
    <w:name w:val="Hyperlink"/>
    <w:basedOn w:val="DefaultParagraphFont"/>
    <w:uiPriority w:val="99"/>
    <w:semiHidden/>
    <w:unhideWhenUsed/>
    <w:rsid w:val="006D74B4"/>
    <w:rPr>
      <w:color w:val="0000FF"/>
      <w:u w:val="single"/>
    </w:rPr>
  </w:style>
  <w:style w:type="paragraph" w:styleId="Header">
    <w:name w:val="header"/>
    <w:basedOn w:val="Normal"/>
    <w:link w:val="HeaderChar"/>
    <w:uiPriority w:val="99"/>
    <w:unhideWhenUsed/>
    <w:rsid w:val="009C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7A"/>
  </w:style>
  <w:style w:type="paragraph" w:styleId="Footer">
    <w:name w:val="footer"/>
    <w:basedOn w:val="Normal"/>
    <w:link w:val="FooterChar"/>
    <w:uiPriority w:val="99"/>
    <w:unhideWhenUsed/>
    <w:rsid w:val="009C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7A"/>
  </w:style>
  <w:style w:type="character" w:customStyle="1" w:styleId="Heading1Char">
    <w:name w:val="Heading 1 Char"/>
    <w:basedOn w:val="DefaultParagraphFont"/>
    <w:link w:val="Heading1"/>
    <w:uiPriority w:val="9"/>
    <w:rsid w:val="009C1D7A"/>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D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F5"/>
    <w:rPr>
      <w:sz w:val="20"/>
      <w:szCs w:val="20"/>
    </w:rPr>
  </w:style>
  <w:style w:type="character" w:styleId="FootnoteReference">
    <w:name w:val="footnote reference"/>
    <w:basedOn w:val="DefaultParagraphFont"/>
    <w:uiPriority w:val="99"/>
    <w:semiHidden/>
    <w:unhideWhenUsed/>
    <w:rsid w:val="00786FF5"/>
    <w:rPr>
      <w:vertAlign w:val="superscript"/>
    </w:rPr>
  </w:style>
  <w:style w:type="paragraph" w:styleId="BalloonText">
    <w:name w:val="Balloon Text"/>
    <w:basedOn w:val="Normal"/>
    <w:link w:val="BalloonTextChar"/>
    <w:uiPriority w:val="99"/>
    <w:semiHidden/>
    <w:unhideWhenUsed/>
    <w:rsid w:val="00E0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B3"/>
    <w:rPr>
      <w:rFonts w:ascii="Tahoma" w:hAnsi="Tahoma" w:cs="Tahoma"/>
      <w:sz w:val="16"/>
      <w:szCs w:val="16"/>
    </w:rPr>
  </w:style>
  <w:style w:type="table" w:styleId="TableGrid">
    <w:name w:val="Table Grid"/>
    <w:basedOn w:val="TableNormal"/>
    <w:uiPriority w:val="59"/>
    <w:rsid w:val="005B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30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30A9E"/>
    <w:pPr>
      <w:ind w:left="720"/>
      <w:contextualSpacing/>
    </w:pPr>
  </w:style>
  <w:style w:type="paragraph" w:styleId="NormalWeb">
    <w:name w:val="Normal (Web)"/>
    <w:basedOn w:val="Normal"/>
    <w:uiPriority w:val="99"/>
    <w:semiHidden/>
    <w:unhideWhenUsed/>
    <w:rsid w:val="006D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4B4"/>
  </w:style>
  <w:style w:type="character" w:styleId="Hyperlink">
    <w:name w:val="Hyperlink"/>
    <w:basedOn w:val="DefaultParagraphFont"/>
    <w:uiPriority w:val="99"/>
    <w:semiHidden/>
    <w:unhideWhenUsed/>
    <w:rsid w:val="006D74B4"/>
    <w:rPr>
      <w:color w:val="0000FF"/>
      <w:u w:val="single"/>
    </w:rPr>
  </w:style>
  <w:style w:type="paragraph" w:styleId="Header">
    <w:name w:val="header"/>
    <w:basedOn w:val="Normal"/>
    <w:link w:val="HeaderChar"/>
    <w:uiPriority w:val="99"/>
    <w:unhideWhenUsed/>
    <w:rsid w:val="009C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7A"/>
  </w:style>
  <w:style w:type="paragraph" w:styleId="Footer">
    <w:name w:val="footer"/>
    <w:basedOn w:val="Normal"/>
    <w:link w:val="FooterChar"/>
    <w:uiPriority w:val="99"/>
    <w:unhideWhenUsed/>
    <w:rsid w:val="009C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7A"/>
  </w:style>
  <w:style w:type="character" w:customStyle="1" w:styleId="Heading1Char">
    <w:name w:val="Heading 1 Char"/>
    <w:basedOn w:val="DefaultParagraphFont"/>
    <w:link w:val="Heading1"/>
    <w:uiPriority w:val="9"/>
    <w:rsid w:val="009C1D7A"/>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240">
      <w:bodyDiv w:val="1"/>
      <w:marLeft w:val="0"/>
      <w:marRight w:val="0"/>
      <w:marTop w:val="0"/>
      <w:marBottom w:val="0"/>
      <w:divBdr>
        <w:top w:val="none" w:sz="0" w:space="0" w:color="auto"/>
        <w:left w:val="none" w:sz="0" w:space="0" w:color="auto"/>
        <w:bottom w:val="none" w:sz="0" w:space="0" w:color="auto"/>
        <w:right w:val="none" w:sz="0" w:space="0" w:color="auto"/>
      </w:divBdr>
    </w:div>
    <w:div w:id="1051348051">
      <w:bodyDiv w:val="1"/>
      <w:marLeft w:val="0"/>
      <w:marRight w:val="0"/>
      <w:marTop w:val="0"/>
      <w:marBottom w:val="0"/>
      <w:divBdr>
        <w:top w:val="none" w:sz="0" w:space="0" w:color="auto"/>
        <w:left w:val="none" w:sz="0" w:space="0" w:color="auto"/>
        <w:bottom w:val="none" w:sz="0" w:space="0" w:color="auto"/>
        <w:right w:val="none" w:sz="0" w:space="0" w:color="auto"/>
      </w:divBdr>
    </w:div>
    <w:div w:id="10953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58.1-6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58.1-60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lis.virginia.gov/vacode/58.1-60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F271-5538-4CB0-A9DC-D39A6DA0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LWallmeyer</dc:creator>
  <cp:lastModifiedBy>LWallmeyer</cp:lastModifiedBy>
  <cp:revision>6</cp:revision>
  <cp:lastPrinted>2014-07-21T14:21:00Z</cp:lastPrinted>
  <dcterms:created xsi:type="dcterms:W3CDTF">2014-07-21T13:23:00Z</dcterms:created>
  <dcterms:modified xsi:type="dcterms:W3CDTF">2014-07-22T17:11:00Z</dcterms:modified>
</cp:coreProperties>
</file>